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 xml:space="preserve">A题  </w:t>
      </w:r>
      <w:r>
        <w:rPr>
          <w:rFonts w:ascii="宋体" w:hAnsi="宋体" w:eastAsia="宋体" w:cs="宋体"/>
          <w:b/>
          <w:bCs/>
          <w:sz w:val="28"/>
          <w:szCs w:val="28"/>
        </w:rPr>
        <w:t xml:space="preserve">电网频率响应 </w:t>
      </w:r>
    </w:p>
    <w:p>
      <w:pPr>
        <w:numPr>
          <w:ilvl w:val="0"/>
          <w:numId w:val="0"/>
        </w:numPr>
        <w:ind w:firstLine="240" w:firstLineChars="100"/>
        <w:jc w:val="both"/>
        <w:rPr>
          <w:rFonts w:hint="eastAsia" w:ascii="宋体" w:hAnsi="宋体" w:eastAsia="宋体" w:cs="宋体"/>
          <w:color w:val="000000"/>
          <w:kern w:val="0"/>
          <w:sz w:val="24"/>
          <w:szCs w:val="24"/>
          <w:lang w:eastAsia="zh-CN" w:bidi="ar"/>
        </w:rPr>
      </w:pPr>
      <w:r>
        <w:rPr>
          <w:rFonts w:hint="eastAsia"/>
          <w:sz w:val="24"/>
          <w:szCs w:val="24"/>
        </w:rPr>
        <w:t>“</w:t>
      </w:r>
      <w:r>
        <w:rPr>
          <w:rFonts w:hint="eastAsia" w:ascii="宋体" w:hAnsi="宋体" w:eastAsia="宋体" w:cs="宋体"/>
          <w:color w:val="000000"/>
          <w:kern w:val="0"/>
          <w:sz w:val="24"/>
          <w:szCs w:val="24"/>
          <w:lang w:eastAsia="zh-CN" w:bidi="ar"/>
        </w:rPr>
        <w:t>地球一小时”是为了表达对可持续发展和气候变化的关注，却引起电力专业组织的担忧。包括34个国家的欧洲电力传输运营商联盟(ENTSO-E)曾呼吁“地球一小时”组织者和参加者不要在统一时间集中关灯和开灯，而可以采取分阶段渐进式开关灯，以减小用电大起大落对电网安全的威胁，避免出于好意却可能触发的大面积停电 (ENTSO-E, 2010; 2011)。但也有人认为地球一小时引起的用电量波动不足为虑(柴知道</w:t>
      </w:r>
      <w:r>
        <w:rPr>
          <w:rFonts w:hint="default"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eastAsia="zh-CN" w:bidi="ar"/>
        </w:rPr>
        <w:t>2019)。</w:t>
      </w:r>
    </w:p>
    <w:p>
      <w:pPr>
        <w:numPr>
          <w:ilvl w:val="0"/>
          <w:numId w:val="0"/>
        </w:numPr>
        <w:ind w:firstLine="480" w:firstLineChars="200"/>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上述例子关乎电力系统安全运行的一个重要前</w:t>
      </w:r>
      <w:r>
        <w:rPr>
          <w:rFonts w:hint="default" w:ascii="宋体" w:hAnsi="宋体" w:eastAsia="宋体" w:cs="宋体"/>
          <w:color w:val="000000"/>
          <w:kern w:val="0"/>
          <w:sz w:val="24"/>
          <w:szCs w:val="24"/>
          <w:lang w:eastAsia="zh-CN" w:bidi="ar"/>
        </w:rPr>
        <w:t>提</w:t>
      </w:r>
      <w:r>
        <w:rPr>
          <w:rFonts w:hint="eastAsia" w:ascii="宋体" w:hAnsi="宋体" w:eastAsia="宋体" w:cs="宋体"/>
          <w:color w:val="000000"/>
          <w:kern w:val="0"/>
          <w:sz w:val="24"/>
          <w:szCs w:val="24"/>
          <w:lang w:eastAsia="zh-CN" w:bidi="ar"/>
        </w:rPr>
        <w:t>，即维持电网频率稳定。当并网 用电设备希望使用的功率超过发电机输出功率时，比如一个城市的路灯开启瞬间，频 率会下降;反之，频率会上升。因此，电力系统的频率总是在额定频率附近波动。燃 煤发电机、燃气发电机等同步发电机具有惯性，是支撑电网频率不发生大范围波动的重要支柱。当电网频率发生大范围波动时，很可能导致一些发电机机组自动退出运行， 部分用电设备也将发生异常。风力发电、光伏等非同步机的电源，本身不具有惯性; 而当这类电力来源比重增加时，电力系统频率惯性将降低，发生频率大范围波动的风 险增加，并可能导致大范围停电。2019 年 8 月 9 日英国就发生了这类大停电事故(PSD</w:t>
      </w:r>
      <w:r>
        <w:rPr>
          <w:rFonts w:hint="default"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eastAsia="zh-CN" w:bidi="ar"/>
        </w:rPr>
        <w:t>2019)。</w:t>
      </w:r>
    </w:p>
    <w:p>
      <w:pPr>
        <w:numPr>
          <w:ilvl w:val="0"/>
          <w:numId w:val="0"/>
        </w:numPr>
        <w:ind w:firstLine="480" w:firstLineChars="200"/>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在风力、光伏发电比例大幅增长的背景下，用电负荷参与电网的频率响应，成为 维持电网频率稳定的有效、经济的手段。比如，电网频率下降到一定程度时，一些非 关键负荷主动降低用电功率，效果形同有电源增加了发电功率。参与频率响应的主要 设备可以选择空调、热水器、电动汽车充电负荷等。负荷参与频率响应中，分布式的控制方式是，各个用电设备主动监测电网频率，频率偏差达到一定程度时主动响应。</w:t>
      </w:r>
    </w:p>
    <w:p>
      <w:pPr>
        <w:numPr>
          <w:ilvl w:val="0"/>
          <w:numId w:val="0"/>
        </w:numPr>
        <w:ind w:firstLine="480" w:firstLineChars="200"/>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本题目只考虑电网频率偏低的情况。我们可以看到，在分布式控制中，需要决策 的参数有:频率偏差的门槛值，以及用电设备监测电网频率的周期。频率响应中需要关注的目标有:用户体验(过于频繁的参与响应可能降低用电满意度)，以及调频效果</w:t>
      </w:r>
      <w:r>
        <w:rPr>
          <w:rFonts w:hint="default"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eastAsia="zh-CN" w:bidi="ar"/>
        </w:rPr>
        <w:t>试就此建立数学模型，并进行初步的测算。</w:t>
      </w:r>
    </w:p>
    <w:p>
      <w:pPr>
        <w:numPr>
          <w:ilvl w:val="0"/>
          <w:numId w:val="0"/>
        </w:numPr>
        <w:ind w:firstLine="480" w:firstLineChars="200"/>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1)假定电力系统频率偏差在正负 0.1Hz 内按正态分布，试建立用户体验与频率偏 差的门槛值、用电设备监测电网频率的周期的函数关系。</w:t>
      </w:r>
    </w:p>
    <w:p>
      <w:pPr>
        <w:numPr>
          <w:ilvl w:val="0"/>
          <w:numId w:val="0"/>
        </w:numPr>
        <w:ind w:firstLine="480" w:firstLineChars="200"/>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2)假定用电设备每次参与响应，是自动关闭一个周期;下一个周期继续监测电网频率，若偏差继续超过门槛值，则继续关闭;不超过门槛值则恢复。试建立调频效果与门槛值、用电设备监测电网频率的周期的函数关系。</w:t>
      </w:r>
    </w:p>
    <w:p>
      <w:pPr>
        <w:numPr>
          <w:ilvl w:val="0"/>
          <w:numId w:val="0"/>
        </w:numPr>
        <w:ind w:firstLine="480" w:firstLineChars="200"/>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3)根据以上数学模型以及您的测算，给出您建议的参数设置。</w:t>
      </w:r>
    </w:p>
    <w:p>
      <w:pPr>
        <w:numPr>
          <w:ilvl w:val="0"/>
          <w:numId w:val="0"/>
        </w:numPr>
        <w:ind w:firstLine="480" w:firstLineChars="200"/>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 xml:space="preserve"> 4)基于您的建模方案，对于用电负荷参与电网频率响应，您有何政策建议?</w:t>
      </w:r>
    </w:p>
    <w:p>
      <w:pPr>
        <w:jc w:val="both"/>
        <w:rPr>
          <w:rFonts w:hint="default"/>
          <w:b/>
          <w:bCs/>
          <w:sz w:val="24"/>
          <w:szCs w:val="24"/>
        </w:rPr>
      </w:pPr>
    </w:p>
    <w:p>
      <w:pPr>
        <w:jc w:val="both"/>
        <w:rPr>
          <w:rFonts w:hint="eastAsia"/>
          <w:b/>
          <w:bCs/>
          <w:sz w:val="24"/>
          <w:szCs w:val="24"/>
        </w:rPr>
      </w:pPr>
      <w:r>
        <w:rPr>
          <w:rFonts w:hint="default"/>
          <w:b/>
          <w:bCs/>
          <w:sz w:val="24"/>
          <w:szCs w:val="24"/>
        </w:rPr>
        <w:t>提</w:t>
      </w:r>
      <w:r>
        <w:rPr>
          <w:rFonts w:hint="eastAsia"/>
          <w:b/>
          <w:bCs/>
          <w:sz w:val="24"/>
          <w:szCs w:val="24"/>
        </w:rPr>
        <w:t>交</w:t>
      </w:r>
    </w:p>
    <w:p>
      <w:pPr>
        <w:numPr>
          <w:ilvl w:val="0"/>
          <w:numId w:val="0"/>
        </w:numPr>
        <w:ind w:firstLine="480" w:firstLineChars="200"/>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您的解决方案论文应包括1页的摘要，正文不能超过 20 页，含摘要最多 21页。附录和参考资料应出现在正文之后，不算在 21 页的限制之内。</w:t>
      </w:r>
    </w:p>
    <w:p>
      <w:pPr>
        <w:jc w:val="both"/>
        <w:rPr>
          <w:rFonts w:hint="eastAsia"/>
          <w:sz w:val="24"/>
          <w:szCs w:val="24"/>
        </w:rPr>
      </w:pPr>
    </w:p>
    <w:p>
      <w:pPr>
        <w:jc w:val="both"/>
        <w:rPr>
          <w:rFonts w:hint="eastAsia"/>
          <w:b/>
          <w:bCs/>
          <w:sz w:val="28"/>
          <w:szCs w:val="28"/>
        </w:rPr>
      </w:pPr>
      <w:r>
        <w:rPr>
          <w:rFonts w:hint="eastAsia"/>
          <w:b/>
          <w:bCs/>
          <w:sz w:val="28"/>
          <w:szCs w:val="28"/>
        </w:rPr>
        <w:t>词汇表</w:t>
      </w:r>
    </w:p>
    <w:p>
      <w:pPr>
        <w:numPr>
          <w:ilvl w:val="0"/>
          <w:numId w:val="0"/>
        </w:numPr>
        <w:jc w:val="both"/>
        <w:rPr>
          <w:rFonts w:hint="default" w:ascii="宋体" w:hAnsi="宋体" w:eastAsia="宋体" w:cs="宋体"/>
          <w:color w:val="000000"/>
          <w:kern w:val="0"/>
          <w:sz w:val="24"/>
          <w:szCs w:val="24"/>
          <w:lang w:eastAsia="zh-CN" w:bidi="ar"/>
        </w:rPr>
      </w:pPr>
      <w:r>
        <w:rPr>
          <w:rFonts w:hint="default" w:ascii="宋体" w:hAnsi="宋体" w:eastAsia="宋体" w:cs="宋体"/>
          <w:b/>
          <w:bCs/>
          <w:color w:val="000000"/>
          <w:kern w:val="0"/>
          <w:sz w:val="24"/>
          <w:szCs w:val="24"/>
          <w:lang w:eastAsia="zh-CN" w:bidi="ar"/>
        </w:rPr>
        <w:t xml:space="preserve">1. </w:t>
      </w:r>
      <w:r>
        <w:rPr>
          <w:rFonts w:hint="eastAsia" w:ascii="宋体" w:hAnsi="宋体" w:eastAsia="宋体" w:cs="宋体"/>
          <w:b/>
          <w:bCs/>
          <w:color w:val="000000"/>
          <w:kern w:val="0"/>
          <w:sz w:val="24"/>
          <w:szCs w:val="24"/>
          <w:lang w:eastAsia="zh-CN" w:bidi="ar"/>
        </w:rPr>
        <w:t>电网频率</w:t>
      </w:r>
      <w:r>
        <w:rPr>
          <w:rFonts w:hint="eastAsia" w:ascii="宋体" w:hAnsi="宋体" w:eastAsia="宋体" w:cs="宋体"/>
          <w:color w:val="000000"/>
          <w:kern w:val="0"/>
          <w:sz w:val="24"/>
          <w:szCs w:val="24"/>
          <w:lang w:eastAsia="zh-CN" w:bidi="ar"/>
        </w:rPr>
        <w:t>:物理课告诉我们，电力系统使用交流电，电压电流用正弦函数</w:t>
      </w:r>
      <w:r>
        <w:rPr>
          <w:rFonts w:hint="default" w:ascii="宋体" w:hAnsi="宋体" w:eastAsia="宋体" w:cs="宋体"/>
          <w:color w:val="000000"/>
          <w:kern w:val="0"/>
          <w:sz w:val="24"/>
          <w:szCs w:val="24"/>
          <w:lang w:eastAsia="zh-CN" w:bidi="ar"/>
        </w:rPr>
        <w:t>描</w:t>
      </w:r>
      <w:r>
        <w:rPr>
          <w:rFonts w:hint="eastAsia" w:ascii="宋体" w:hAnsi="宋体" w:eastAsia="宋体" w:cs="宋体"/>
          <w:color w:val="000000"/>
          <w:kern w:val="0"/>
          <w:sz w:val="24"/>
          <w:szCs w:val="24"/>
          <w:lang w:eastAsia="zh-CN" w:bidi="ar"/>
        </w:rPr>
        <w:t>述。电网频率是电压和电流每秒的周波数，由同步发电机的旋转速度决定。在稳态条件下，各 发电机同步运行，整个电网的频率相等，是一个全系统一致的运行参数。世界各地的 电网频率多为 50Hz，部分国家或地区为 60Hz，即交流电每秒钟变化 50 次，或 60 次。</w:t>
      </w:r>
    </w:p>
    <w:p>
      <w:pPr>
        <w:numPr>
          <w:ilvl w:val="0"/>
          <w:numId w:val="0"/>
        </w:numPr>
        <w:jc w:val="both"/>
        <w:rPr>
          <w:rFonts w:hint="default" w:ascii="宋体" w:hAnsi="宋体" w:eastAsia="宋体" w:cs="宋体"/>
          <w:color w:val="000000"/>
          <w:kern w:val="0"/>
          <w:sz w:val="24"/>
          <w:szCs w:val="24"/>
          <w:lang w:eastAsia="zh-CN" w:bidi="ar"/>
        </w:rPr>
      </w:pPr>
      <w:r>
        <w:rPr>
          <w:rFonts w:hint="default" w:ascii="宋体" w:hAnsi="宋体" w:eastAsia="宋体" w:cs="宋体"/>
          <w:b/>
          <w:bCs/>
          <w:color w:val="000000"/>
          <w:kern w:val="0"/>
          <w:sz w:val="24"/>
          <w:szCs w:val="24"/>
          <w:lang w:eastAsia="zh-CN" w:bidi="ar"/>
        </w:rPr>
        <w:t>2.</w:t>
      </w:r>
      <w:r>
        <w:rPr>
          <w:rFonts w:hint="eastAsia" w:ascii="宋体" w:hAnsi="宋体" w:eastAsia="宋体" w:cs="宋体"/>
          <w:b/>
          <w:bCs/>
          <w:color w:val="000000"/>
          <w:kern w:val="0"/>
          <w:sz w:val="24"/>
          <w:szCs w:val="24"/>
          <w:lang w:eastAsia="zh-CN" w:bidi="ar"/>
        </w:rPr>
        <w:t>负荷:</w:t>
      </w:r>
      <w:r>
        <w:rPr>
          <w:rFonts w:hint="eastAsia" w:ascii="宋体" w:hAnsi="宋体" w:eastAsia="宋体" w:cs="宋体"/>
          <w:color w:val="000000"/>
          <w:kern w:val="0"/>
          <w:sz w:val="24"/>
          <w:szCs w:val="24"/>
          <w:lang w:eastAsia="zh-CN" w:bidi="ar"/>
        </w:rPr>
        <w:t>电能用户的用电设备在某一时刻向电力系统取用的电功率的总和，称为负荷。</w:t>
      </w:r>
    </w:p>
    <w:p>
      <w:pPr>
        <w:numPr>
          <w:ilvl w:val="0"/>
          <w:numId w:val="0"/>
        </w:numPr>
        <w:jc w:val="both"/>
        <w:rPr>
          <w:rFonts w:hint="default" w:ascii="宋体" w:hAnsi="宋体" w:eastAsia="宋体" w:cs="宋体"/>
          <w:color w:val="000000"/>
          <w:kern w:val="0"/>
          <w:sz w:val="24"/>
          <w:szCs w:val="24"/>
          <w:lang w:eastAsia="zh-CN" w:bidi="ar"/>
        </w:rPr>
      </w:pPr>
      <w:r>
        <w:rPr>
          <w:rFonts w:hint="default" w:ascii="宋体" w:hAnsi="宋体" w:eastAsia="宋体" w:cs="宋体"/>
          <w:b/>
          <w:bCs/>
          <w:color w:val="000000"/>
          <w:kern w:val="0"/>
          <w:sz w:val="24"/>
          <w:szCs w:val="24"/>
          <w:lang w:eastAsia="zh-CN" w:bidi="ar"/>
        </w:rPr>
        <w:t>3.</w:t>
      </w:r>
      <w:r>
        <w:rPr>
          <w:rFonts w:hint="eastAsia" w:ascii="宋体" w:hAnsi="宋体" w:eastAsia="宋体" w:cs="宋体"/>
          <w:b/>
          <w:bCs/>
          <w:color w:val="000000"/>
          <w:kern w:val="0"/>
          <w:sz w:val="24"/>
          <w:szCs w:val="24"/>
          <w:lang w:eastAsia="zh-CN" w:bidi="ar"/>
        </w:rPr>
        <w:t>频率响应</w:t>
      </w:r>
      <w:r>
        <w:rPr>
          <w:rFonts w:hint="eastAsia" w:ascii="宋体" w:hAnsi="宋体" w:eastAsia="宋体" w:cs="宋体"/>
          <w:color w:val="000000"/>
          <w:kern w:val="0"/>
          <w:sz w:val="24"/>
          <w:szCs w:val="24"/>
          <w:lang w:eastAsia="zh-CN" w:bidi="ar"/>
        </w:rPr>
        <w:t>:指电网的频率一旦偏离额定频率值时，电网机组做出相应的变化，限制电 网频率变化，使电网频率维持稳定的自动控制过程。</w:t>
      </w:r>
    </w:p>
    <w:p>
      <w:pPr>
        <w:numPr>
          <w:ilvl w:val="0"/>
          <w:numId w:val="0"/>
        </w:numPr>
        <w:jc w:val="both"/>
        <w:rPr>
          <w:rFonts w:hint="default" w:ascii="宋体" w:hAnsi="宋体" w:eastAsia="宋体" w:cs="宋体"/>
          <w:color w:val="000000"/>
          <w:kern w:val="0"/>
          <w:sz w:val="24"/>
          <w:szCs w:val="24"/>
          <w:lang w:eastAsia="zh-CN" w:bidi="ar"/>
        </w:rPr>
      </w:pPr>
      <w:r>
        <w:rPr>
          <w:rFonts w:hint="default" w:ascii="宋体" w:hAnsi="宋体" w:eastAsia="宋体" w:cs="宋体"/>
          <w:b/>
          <w:bCs/>
          <w:color w:val="000000"/>
          <w:kern w:val="0"/>
          <w:sz w:val="24"/>
          <w:szCs w:val="24"/>
          <w:lang w:eastAsia="zh-CN" w:bidi="ar"/>
        </w:rPr>
        <w:t>4.</w:t>
      </w:r>
      <w:r>
        <w:rPr>
          <w:rFonts w:hint="eastAsia" w:ascii="宋体" w:hAnsi="宋体" w:eastAsia="宋体" w:cs="宋体"/>
          <w:b/>
          <w:bCs/>
          <w:color w:val="000000"/>
          <w:kern w:val="0"/>
          <w:sz w:val="24"/>
          <w:szCs w:val="24"/>
          <w:lang w:eastAsia="zh-CN" w:bidi="ar"/>
        </w:rPr>
        <w:t>频率偏差门槛</w:t>
      </w:r>
      <w:r>
        <w:rPr>
          <w:rFonts w:hint="eastAsia" w:ascii="宋体" w:hAnsi="宋体" w:eastAsia="宋体" w:cs="宋体"/>
          <w:color w:val="000000"/>
          <w:kern w:val="0"/>
          <w:sz w:val="24"/>
          <w:szCs w:val="24"/>
          <w:lang w:eastAsia="zh-CN" w:bidi="ar"/>
        </w:rPr>
        <w:t>:用电负荷参与频率响应的频率偏差最小值。频率偏差超过门槛值，用 电负荷才开始参与频率响应。</w:t>
      </w:r>
    </w:p>
    <w:p>
      <w:pPr>
        <w:numPr>
          <w:ilvl w:val="0"/>
          <w:numId w:val="0"/>
        </w:numPr>
        <w:jc w:val="both"/>
        <w:rPr>
          <w:rFonts w:hint="default" w:ascii="宋体" w:hAnsi="宋体" w:eastAsia="宋体" w:cs="宋体"/>
          <w:color w:val="000000"/>
          <w:kern w:val="0"/>
          <w:sz w:val="24"/>
          <w:szCs w:val="24"/>
          <w:lang w:eastAsia="zh-CN" w:bidi="ar"/>
        </w:rPr>
      </w:pPr>
      <w:r>
        <w:rPr>
          <w:rFonts w:hint="default" w:ascii="宋体" w:hAnsi="宋体" w:eastAsia="宋体" w:cs="宋体"/>
          <w:b/>
          <w:bCs/>
          <w:color w:val="000000"/>
          <w:kern w:val="0"/>
          <w:sz w:val="24"/>
          <w:szCs w:val="24"/>
          <w:lang w:eastAsia="zh-CN" w:bidi="ar"/>
        </w:rPr>
        <w:t>5.</w:t>
      </w:r>
      <w:r>
        <w:rPr>
          <w:rFonts w:hint="eastAsia" w:ascii="宋体" w:hAnsi="宋体" w:eastAsia="宋体" w:cs="宋体"/>
          <w:b/>
          <w:bCs/>
          <w:color w:val="000000"/>
          <w:kern w:val="0"/>
          <w:sz w:val="24"/>
          <w:szCs w:val="24"/>
          <w:lang w:eastAsia="zh-CN" w:bidi="ar"/>
        </w:rPr>
        <w:t>监测电网频率</w:t>
      </w:r>
      <w:r>
        <w:rPr>
          <w:rFonts w:hint="eastAsia" w:ascii="宋体" w:hAnsi="宋体" w:eastAsia="宋体" w:cs="宋体"/>
          <w:color w:val="000000"/>
          <w:kern w:val="0"/>
          <w:sz w:val="24"/>
          <w:szCs w:val="24"/>
          <w:lang w:eastAsia="zh-CN" w:bidi="ar"/>
        </w:rPr>
        <w:t>周期:用电设备监测电网频率的周期，即多久监测一次电网频率。</w:t>
      </w:r>
    </w:p>
    <w:p>
      <w:pPr>
        <w:numPr>
          <w:ilvl w:val="0"/>
          <w:numId w:val="0"/>
        </w:numPr>
        <w:jc w:val="both"/>
        <w:rPr>
          <w:rFonts w:hint="default" w:ascii="宋体" w:hAnsi="宋体" w:eastAsia="宋体" w:cs="宋体"/>
          <w:color w:val="000000"/>
          <w:kern w:val="0"/>
          <w:sz w:val="24"/>
          <w:szCs w:val="24"/>
          <w:lang w:eastAsia="zh-CN" w:bidi="ar"/>
        </w:rPr>
      </w:pPr>
      <w:r>
        <w:rPr>
          <w:rFonts w:hint="default" w:ascii="宋体" w:hAnsi="宋体" w:eastAsia="宋体" w:cs="宋体"/>
          <w:b/>
          <w:bCs/>
          <w:color w:val="000000"/>
          <w:kern w:val="0"/>
          <w:sz w:val="24"/>
          <w:szCs w:val="24"/>
          <w:lang w:eastAsia="zh-CN" w:bidi="ar"/>
        </w:rPr>
        <w:t>6.</w:t>
      </w:r>
      <w:r>
        <w:rPr>
          <w:rFonts w:hint="eastAsia" w:ascii="宋体" w:hAnsi="宋体" w:eastAsia="宋体" w:cs="宋体"/>
          <w:b/>
          <w:bCs/>
          <w:color w:val="000000"/>
          <w:kern w:val="0"/>
          <w:sz w:val="24"/>
          <w:szCs w:val="24"/>
          <w:lang w:eastAsia="zh-CN" w:bidi="ar"/>
        </w:rPr>
        <w:t>用户体验</w:t>
      </w:r>
      <w:r>
        <w:rPr>
          <w:rFonts w:hint="eastAsia" w:ascii="宋体" w:hAnsi="宋体" w:eastAsia="宋体" w:cs="宋体"/>
          <w:color w:val="000000"/>
          <w:kern w:val="0"/>
          <w:sz w:val="24"/>
          <w:szCs w:val="24"/>
          <w:lang w:eastAsia="zh-CN" w:bidi="ar"/>
        </w:rPr>
        <w:t>:用电负荷参与频率响应给用户带来的感受和舒适度的影响，如热负荷参与</w:t>
      </w:r>
      <w:r>
        <w:rPr>
          <w:rFonts w:hint="default"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eastAsia="zh-CN" w:bidi="ar"/>
        </w:rPr>
        <w:t>可能带来温度的改变。</w:t>
      </w:r>
    </w:p>
    <w:p>
      <w:pPr>
        <w:numPr>
          <w:ilvl w:val="0"/>
          <w:numId w:val="0"/>
        </w:numPr>
        <w:jc w:val="both"/>
        <w:rPr>
          <w:rFonts w:hint="eastAsia" w:ascii="宋体" w:hAnsi="宋体" w:eastAsia="宋体" w:cs="宋体"/>
          <w:color w:val="000000"/>
          <w:kern w:val="0"/>
          <w:sz w:val="24"/>
          <w:szCs w:val="24"/>
          <w:lang w:eastAsia="zh-CN" w:bidi="ar"/>
        </w:rPr>
      </w:pPr>
      <w:r>
        <w:rPr>
          <w:rFonts w:hint="default" w:ascii="宋体" w:hAnsi="宋体" w:eastAsia="宋体" w:cs="宋体"/>
          <w:b/>
          <w:bCs/>
          <w:color w:val="000000"/>
          <w:kern w:val="0"/>
          <w:sz w:val="24"/>
          <w:szCs w:val="24"/>
          <w:lang w:eastAsia="zh-CN" w:bidi="ar"/>
        </w:rPr>
        <w:t>7.</w:t>
      </w:r>
      <w:r>
        <w:rPr>
          <w:rFonts w:hint="eastAsia" w:ascii="宋体" w:hAnsi="宋体" w:eastAsia="宋体" w:cs="宋体"/>
          <w:b/>
          <w:bCs/>
          <w:color w:val="000000"/>
          <w:kern w:val="0"/>
          <w:sz w:val="24"/>
          <w:szCs w:val="24"/>
          <w:lang w:eastAsia="zh-CN" w:bidi="ar"/>
        </w:rPr>
        <w:t>调频效果</w:t>
      </w:r>
      <w:r>
        <w:rPr>
          <w:rFonts w:hint="eastAsia" w:ascii="宋体" w:hAnsi="宋体" w:eastAsia="宋体" w:cs="宋体"/>
          <w:color w:val="000000"/>
          <w:kern w:val="0"/>
          <w:sz w:val="24"/>
          <w:szCs w:val="24"/>
          <w:lang w:eastAsia="zh-CN" w:bidi="ar"/>
        </w:rPr>
        <w:t>:频率响应时，以最大频率偏差和超过门槛值的频率偏差的累积时间两个指 标最为重要。</w:t>
      </w:r>
    </w:p>
    <w:p>
      <w:pPr>
        <w:jc w:val="both"/>
        <w:rPr>
          <w:rFonts w:hint="eastAsia"/>
          <w:sz w:val="24"/>
          <w:szCs w:val="24"/>
        </w:rPr>
      </w:pPr>
    </w:p>
    <w:p>
      <w:pPr>
        <w:jc w:val="both"/>
        <w:rPr>
          <w:rFonts w:hint="eastAsia"/>
          <w:b/>
          <w:bCs/>
          <w:sz w:val="28"/>
          <w:szCs w:val="28"/>
        </w:rPr>
      </w:pPr>
      <w:r>
        <w:rPr>
          <w:rFonts w:hint="eastAsia"/>
          <w:b/>
          <w:bCs/>
          <w:sz w:val="28"/>
          <w:szCs w:val="28"/>
        </w:rPr>
        <w:t>参考文献:</w:t>
      </w:r>
    </w:p>
    <w:p>
      <w:pPr>
        <w:numPr>
          <w:ilvl w:val="0"/>
          <w:numId w:val="1"/>
        </w:numPr>
        <w:jc w:val="both"/>
        <w:rPr>
          <w:rFonts w:hint="default"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ENTSO-E, 2010. “WWF Earth Hour bears risks for European electricity transmission</w:t>
      </w:r>
      <w:r>
        <w:rPr>
          <w:rFonts w:hint="default" w:ascii="宋体" w:hAnsi="宋体" w:eastAsia="宋体" w:cs="宋体"/>
          <w:color w:val="000000"/>
          <w:kern w:val="0"/>
          <w:sz w:val="21"/>
          <w:szCs w:val="21"/>
          <w:lang w:eastAsia="zh-CN" w:bidi="ar"/>
        </w:rPr>
        <w:t xml:space="preserve"> </w:t>
      </w:r>
      <w:r>
        <w:rPr>
          <w:rFonts w:hint="eastAsia" w:ascii="宋体" w:hAnsi="宋体" w:eastAsia="宋体" w:cs="宋体"/>
          <w:color w:val="000000"/>
          <w:kern w:val="0"/>
          <w:sz w:val="21"/>
          <w:szCs w:val="21"/>
          <w:lang w:eastAsia="zh-CN" w:bidi="ar"/>
        </w:rPr>
        <w:t>system”</w:t>
      </w:r>
      <w:r>
        <w:rPr>
          <w:rFonts w:hint="default" w:ascii="宋体" w:hAnsi="宋体" w:eastAsia="宋体" w:cs="宋体"/>
          <w:color w:val="000000"/>
          <w:kern w:val="0"/>
          <w:sz w:val="21"/>
          <w:szCs w:val="21"/>
          <w:lang w:eastAsia="zh-CN" w:bidi="ar"/>
        </w:rPr>
        <w:t>,</w:t>
      </w:r>
    </w:p>
    <w:p>
      <w:pPr>
        <w:numPr>
          <w:ilvl w:val="0"/>
          <w:numId w:val="0"/>
        </w:num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fldChar w:fldCharType="begin"/>
      </w:r>
      <w:r>
        <w:rPr>
          <w:rFonts w:hint="eastAsia" w:ascii="宋体" w:hAnsi="宋体" w:eastAsia="宋体" w:cs="宋体"/>
          <w:color w:val="000000"/>
          <w:kern w:val="0"/>
          <w:sz w:val="21"/>
          <w:szCs w:val="21"/>
          <w:lang w:eastAsia="zh-CN" w:bidi="ar"/>
        </w:rPr>
        <w:instrText xml:space="preserve"> HYPERLINK "https://www.entsoe.eu/2010/03/25/wwf-earth-hour-bears-risks-for-european-electricity-transmission-system/" </w:instrText>
      </w:r>
      <w:r>
        <w:rPr>
          <w:rFonts w:hint="eastAsia" w:ascii="宋体" w:hAnsi="宋体" w:eastAsia="宋体" w:cs="宋体"/>
          <w:color w:val="000000"/>
          <w:kern w:val="0"/>
          <w:sz w:val="21"/>
          <w:szCs w:val="21"/>
          <w:lang w:eastAsia="zh-CN" w:bidi="ar"/>
        </w:rPr>
        <w:fldChar w:fldCharType="separate"/>
      </w:r>
      <w:r>
        <w:rPr>
          <w:rFonts w:hint="eastAsia" w:ascii="宋体" w:hAnsi="宋体" w:eastAsia="宋体" w:cs="宋体"/>
          <w:color w:val="000000"/>
          <w:kern w:val="0"/>
          <w:sz w:val="21"/>
          <w:szCs w:val="21"/>
          <w:lang w:eastAsia="zh-CN" w:bidi="ar"/>
        </w:rPr>
        <w:t>https://www.entsoe.eu/2010/03/25/wwf-earth-hour-bears-risks-for-european-electricity-transmission-system/</w:t>
      </w:r>
      <w:r>
        <w:rPr>
          <w:rFonts w:hint="eastAsia" w:ascii="宋体" w:hAnsi="宋体" w:eastAsia="宋体" w:cs="宋体"/>
          <w:color w:val="000000"/>
          <w:kern w:val="0"/>
          <w:sz w:val="21"/>
          <w:szCs w:val="21"/>
          <w:lang w:eastAsia="zh-CN" w:bidi="ar"/>
        </w:rPr>
        <w:fldChar w:fldCharType="end"/>
      </w:r>
      <w:bookmarkStart w:id="0" w:name="_GoBack"/>
      <w:bookmarkEnd w:id="0"/>
    </w:p>
    <w:p>
      <w:pPr>
        <w:numPr>
          <w:ilvl w:val="0"/>
          <w:numId w:val="0"/>
        </w:numPr>
        <w:jc w:val="both"/>
        <w:rPr>
          <w:rFonts w:hint="eastAsia" w:ascii="宋体" w:hAnsi="宋体" w:eastAsia="宋体" w:cs="宋体"/>
          <w:color w:val="000000"/>
          <w:kern w:val="0"/>
          <w:sz w:val="21"/>
          <w:szCs w:val="21"/>
          <w:lang w:eastAsia="zh-CN" w:bidi="ar"/>
        </w:rPr>
      </w:pPr>
      <w:r>
        <w:rPr>
          <w:rFonts w:hint="default" w:ascii="宋体" w:hAnsi="宋体" w:eastAsia="宋体" w:cs="宋体"/>
          <w:color w:val="000000"/>
          <w:kern w:val="0"/>
          <w:sz w:val="21"/>
          <w:szCs w:val="21"/>
          <w:lang w:eastAsia="zh-CN" w:bidi="ar"/>
        </w:rPr>
        <w:t>2.</w:t>
      </w:r>
      <w:r>
        <w:rPr>
          <w:rFonts w:hint="eastAsia" w:ascii="宋体" w:hAnsi="宋体" w:eastAsia="宋体" w:cs="宋体"/>
          <w:color w:val="000000"/>
          <w:kern w:val="0"/>
          <w:sz w:val="21"/>
          <w:szCs w:val="21"/>
          <w:lang w:eastAsia="zh-CN" w:bidi="ar"/>
        </w:rPr>
        <w:t>ENTSO-E, 2011. “European grid operators join WWF to think ‘beyond the hour’”,</w:t>
      </w:r>
    </w:p>
    <w:p>
      <w:pPr>
        <w:numPr>
          <w:ilvl w:val="0"/>
          <w:numId w:val="0"/>
        </w:num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fldChar w:fldCharType="begin"/>
      </w:r>
      <w:r>
        <w:rPr>
          <w:rFonts w:hint="eastAsia" w:ascii="宋体" w:hAnsi="宋体" w:eastAsia="宋体" w:cs="宋体"/>
          <w:color w:val="000000"/>
          <w:kern w:val="0"/>
          <w:sz w:val="21"/>
          <w:szCs w:val="21"/>
          <w:lang w:eastAsia="zh-CN" w:bidi="ar"/>
        </w:rPr>
        <w:instrText xml:space="preserve"> HYPERLINK "https://www.entsoe.eu/2011/03/25/european-grid-operators-join-wwf-to-think-beyond-the-hour/" </w:instrText>
      </w:r>
      <w:r>
        <w:rPr>
          <w:rFonts w:hint="eastAsia" w:ascii="宋体" w:hAnsi="宋体" w:eastAsia="宋体" w:cs="宋体"/>
          <w:color w:val="000000"/>
          <w:kern w:val="0"/>
          <w:sz w:val="21"/>
          <w:szCs w:val="21"/>
          <w:lang w:eastAsia="zh-CN" w:bidi="ar"/>
        </w:rPr>
        <w:fldChar w:fldCharType="separate"/>
      </w:r>
      <w:r>
        <w:rPr>
          <w:rFonts w:hint="eastAsia" w:ascii="宋体" w:hAnsi="宋体" w:eastAsia="宋体" w:cs="宋体"/>
          <w:color w:val="000000"/>
          <w:kern w:val="0"/>
          <w:sz w:val="21"/>
          <w:szCs w:val="21"/>
          <w:lang w:eastAsia="zh-CN" w:bidi="ar"/>
        </w:rPr>
        <w:t>https://www.entsoe.eu/2011/03/25/european-grid-operators-join-wwf-to-think-beyond-the-hour/</w:t>
      </w:r>
      <w:r>
        <w:rPr>
          <w:rFonts w:hint="eastAsia" w:ascii="宋体" w:hAnsi="宋体" w:eastAsia="宋体" w:cs="宋体"/>
          <w:color w:val="000000"/>
          <w:kern w:val="0"/>
          <w:sz w:val="21"/>
          <w:szCs w:val="21"/>
          <w:lang w:eastAsia="zh-CN" w:bidi="ar"/>
        </w:rPr>
        <w:fldChar w:fldCharType="end"/>
      </w:r>
    </w:p>
    <w:p>
      <w:pPr>
        <w:numPr>
          <w:ilvl w:val="0"/>
          <w:numId w:val="2"/>
        </w:num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柴知道</w:t>
      </w:r>
      <w:r>
        <w:rPr>
          <w:rFonts w:hint="default"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 xml:space="preserve">2019.“地球一小时，地球在乎吗?”(视频) </w:t>
      </w:r>
    </w:p>
    <w:p>
      <w:pPr>
        <w:numPr>
          <w:numId w:val="0"/>
        </w:num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fldChar w:fldCharType="begin"/>
      </w:r>
      <w:r>
        <w:rPr>
          <w:rFonts w:hint="eastAsia" w:ascii="宋体" w:hAnsi="宋体" w:eastAsia="宋体" w:cs="宋体"/>
          <w:color w:val="000000"/>
          <w:kern w:val="0"/>
          <w:sz w:val="21"/>
          <w:szCs w:val="21"/>
          <w:lang w:eastAsia="zh-CN" w:bidi="ar"/>
        </w:rPr>
        <w:instrText xml:space="preserve"> HYPERLINK "https://www.bilibili.com/video/av47756290?from=search&amp;seid=15049368556817732925" </w:instrText>
      </w:r>
      <w:r>
        <w:rPr>
          <w:rFonts w:hint="eastAsia" w:ascii="宋体" w:hAnsi="宋体" w:eastAsia="宋体" w:cs="宋体"/>
          <w:color w:val="000000"/>
          <w:kern w:val="0"/>
          <w:sz w:val="21"/>
          <w:szCs w:val="21"/>
          <w:lang w:eastAsia="zh-CN" w:bidi="ar"/>
        </w:rPr>
        <w:fldChar w:fldCharType="separate"/>
      </w:r>
      <w:r>
        <w:rPr>
          <w:rFonts w:hint="eastAsia" w:ascii="宋体" w:hAnsi="宋体" w:eastAsia="宋体" w:cs="宋体"/>
          <w:color w:val="000000"/>
          <w:kern w:val="0"/>
          <w:sz w:val="21"/>
          <w:szCs w:val="21"/>
          <w:lang w:eastAsia="zh-CN" w:bidi="ar"/>
        </w:rPr>
        <w:t>https://www.bilibili.com/video/av47756290?from=search&amp;seid=15049368556817732925</w:t>
      </w:r>
      <w:r>
        <w:rPr>
          <w:rFonts w:hint="eastAsia" w:ascii="宋体" w:hAnsi="宋体" w:eastAsia="宋体" w:cs="宋体"/>
          <w:color w:val="000000"/>
          <w:kern w:val="0"/>
          <w:sz w:val="21"/>
          <w:szCs w:val="21"/>
          <w:lang w:eastAsia="zh-CN" w:bidi="ar"/>
        </w:rPr>
        <w:fldChar w:fldCharType="end"/>
      </w:r>
    </w:p>
    <w:p>
      <w:pPr>
        <w:numPr>
          <w:ilvl w:val="0"/>
          <w:numId w:val="2"/>
        </w:num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中国电力科学研究院电力系统研究所(PSD)，2019.“英国‘2019  ⋅8 ⋅9’大停电事故</w:t>
      </w:r>
    </w:p>
    <w:p>
      <w:pPr>
        <w:numPr>
          <w:numId w:val="0"/>
        </w:num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分析报告”，</w:t>
      </w:r>
      <w:r>
        <w:rPr>
          <w:rFonts w:hint="eastAsia" w:ascii="宋体" w:hAnsi="宋体" w:eastAsia="宋体" w:cs="宋体"/>
          <w:color w:val="000000"/>
          <w:kern w:val="0"/>
          <w:sz w:val="21"/>
          <w:szCs w:val="21"/>
          <w:lang w:eastAsia="zh-CN" w:bidi="ar"/>
        </w:rPr>
        <w:fldChar w:fldCharType="begin"/>
      </w:r>
      <w:r>
        <w:rPr>
          <w:rFonts w:hint="eastAsia" w:ascii="宋体" w:hAnsi="宋体" w:eastAsia="宋体" w:cs="宋体"/>
          <w:color w:val="000000"/>
          <w:kern w:val="0"/>
          <w:sz w:val="21"/>
          <w:szCs w:val="21"/>
          <w:lang w:eastAsia="zh-CN" w:bidi="ar"/>
        </w:rPr>
        <w:instrText xml:space="preserve"> HYPERLINK "http://www.escn.com.cn/news/show-758364.html" </w:instrText>
      </w:r>
      <w:r>
        <w:rPr>
          <w:rFonts w:hint="eastAsia" w:ascii="宋体" w:hAnsi="宋体" w:eastAsia="宋体" w:cs="宋体"/>
          <w:color w:val="000000"/>
          <w:kern w:val="0"/>
          <w:sz w:val="21"/>
          <w:szCs w:val="21"/>
          <w:lang w:eastAsia="zh-CN" w:bidi="ar"/>
        </w:rPr>
        <w:fldChar w:fldCharType="separate"/>
      </w:r>
      <w:r>
        <w:rPr>
          <w:rFonts w:hint="eastAsia" w:ascii="宋体" w:hAnsi="宋体" w:eastAsia="宋体" w:cs="宋体"/>
          <w:color w:val="000000"/>
          <w:kern w:val="0"/>
          <w:sz w:val="21"/>
          <w:szCs w:val="21"/>
          <w:lang w:eastAsia="zh-CN" w:bidi="ar"/>
        </w:rPr>
        <w:t>http://www.escn.com.cn/news/show-758364.html</w:t>
      </w:r>
      <w:r>
        <w:rPr>
          <w:rFonts w:hint="eastAsia" w:ascii="宋体" w:hAnsi="宋体" w:eastAsia="宋体" w:cs="宋体"/>
          <w:color w:val="000000"/>
          <w:kern w:val="0"/>
          <w:sz w:val="21"/>
          <w:szCs w:val="21"/>
          <w:lang w:eastAsia="zh-CN" w:bidi="ar"/>
        </w:rPr>
        <w:fldChar w:fldCharType="end"/>
      </w:r>
    </w:p>
    <w:p>
      <w:pPr>
        <w:numPr>
          <w:ilvl w:val="0"/>
          <w:numId w:val="0"/>
        </w:numPr>
        <w:jc w:val="both"/>
        <w:rPr>
          <w:rFonts w:hint="eastAsia"/>
          <w:sz w:val="24"/>
          <w:szCs w:val="24"/>
        </w:rPr>
      </w:pPr>
    </w:p>
    <w:p>
      <w:pPr>
        <w:numPr>
          <w:ilvl w:val="0"/>
          <w:numId w:val="0"/>
        </w:numPr>
        <w:jc w:val="both"/>
        <w:rPr>
          <w:rFonts w:hint="eastAsia"/>
          <w:sz w:val="24"/>
          <w:szCs w:val="24"/>
        </w:rPr>
      </w:pPr>
      <w:r>
        <w:rPr>
          <w:rFonts w:hint="default"/>
          <w:sz w:val="24"/>
          <w:szCs w:val="24"/>
        </w:rPr>
        <w:t>----------------------------------------------------------------------------------------</w:t>
      </w:r>
    </w:p>
    <w:p>
      <w:pPr>
        <w:numPr>
          <w:ilvl w:val="0"/>
          <w:numId w:val="0"/>
        </w:numPr>
        <w:ind w:firstLine="2803" w:firstLineChars="1000"/>
        <w:jc w:val="left"/>
        <w:rPr>
          <w:rFonts w:hint="eastAsia"/>
          <w:sz w:val="28"/>
          <w:szCs w:val="28"/>
        </w:rPr>
      </w:pPr>
      <w:r>
        <w:rPr>
          <w:rFonts w:hint="default"/>
          <w:b/>
          <w:bCs/>
          <w:sz w:val="28"/>
          <w:szCs w:val="28"/>
        </w:rPr>
        <w:t xml:space="preserve">B题  </w:t>
      </w:r>
      <w:r>
        <w:rPr>
          <w:rFonts w:hint="eastAsia"/>
          <w:b/>
          <w:bCs/>
          <w:sz w:val="28"/>
          <w:szCs w:val="28"/>
        </w:rPr>
        <w:t>网络保险激励策略</w:t>
      </w:r>
    </w:p>
    <w:p>
      <w:pPr>
        <w:numPr>
          <w:ilvl w:val="0"/>
          <w:numId w:val="0"/>
        </w:numPr>
        <w:ind w:firstLine="480" w:firstLineChars="200"/>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网络风险现在是从政府实体到私人公司的所有组织所必须认真应对的最重要的新兴风险之一</w:t>
      </w:r>
      <w:r>
        <w:rPr>
          <w:rFonts w:hint="eastAsia" w:ascii="宋体" w:hAnsi="宋体" w:eastAsia="宋体" w:cs="宋体"/>
          <w:color w:val="000000"/>
          <w:kern w:val="0"/>
          <w:sz w:val="24"/>
          <w:szCs w:val="24"/>
          <w:vertAlign w:val="superscript"/>
          <w:lang w:eastAsia="zh-CN" w:bidi="ar"/>
        </w:rPr>
        <w:t>1</w:t>
      </w:r>
      <w:r>
        <w:rPr>
          <w:rFonts w:hint="eastAsia" w:ascii="宋体" w:hAnsi="宋体" w:eastAsia="宋体" w:cs="宋体"/>
          <w:color w:val="000000"/>
          <w:kern w:val="0"/>
          <w:sz w:val="24"/>
          <w:szCs w:val="24"/>
          <w:lang w:eastAsia="zh-CN" w:bidi="ar"/>
        </w:rPr>
        <w:t>。被攻击的机会和防御的实力在组织间会有很大差别。一次成功的攻击可能会给受害者造成重大损伤，例如珍贵数据的丢失，设备的维修和更换，合规罚款和罚金，诉讼费用，品牌和声誉受损，生产中断，客户流失，等等</w:t>
      </w:r>
      <w:r>
        <w:rPr>
          <w:rFonts w:hint="eastAsia" w:ascii="宋体" w:hAnsi="宋体" w:eastAsia="宋体" w:cs="宋体"/>
          <w:color w:val="000000"/>
          <w:kern w:val="0"/>
          <w:sz w:val="24"/>
          <w:szCs w:val="24"/>
          <w:vertAlign w:val="superscript"/>
          <w:lang w:eastAsia="zh-CN" w:bidi="ar"/>
        </w:rPr>
        <w:t>2</w:t>
      </w:r>
      <w:r>
        <w:rPr>
          <w:rFonts w:hint="eastAsia" w:ascii="宋体" w:hAnsi="宋体" w:eastAsia="宋体" w:cs="宋体"/>
          <w:color w:val="000000"/>
          <w:kern w:val="0"/>
          <w:sz w:val="24"/>
          <w:szCs w:val="24"/>
          <w:lang w:eastAsia="zh-CN" w:bidi="ar"/>
        </w:rPr>
        <w:t>。根据 IBM的一份报告，2018 年全球数据泄露的平均成本比上一年增长 6.4％，达到386万美元，每条包含敏感和机密信息的丢失或被盗记录的平均成本增长了4.8％，至148 美元</w:t>
      </w:r>
      <w:r>
        <w:rPr>
          <w:rFonts w:hint="eastAsia" w:ascii="宋体" w:hAnsi="宋体" w:eastAsia="宋体" w:cs="宋体"/>
          <w:color w:val="000000"/>
          <w:kern w:val="0"/>
          <w:sz w:val="24"/>
          <w:szCs w:val="24"/>
          <w:vertAlign w:val="superscript"/>
          <w:lang w:eastAsia="zh-CN" w:bidi="ar"/>
        </w:rPr>
        <w:t>3</w:t>
      </w:r>
      <w:r>
        <w:rPr>
          <w:rFonts w:hint="eastAsia" w:ascii="宋体" w:hAnsi="宋体" w:eastAsia="宋体" w:cs="宋体"/>
          <w:color w:val="000000"/>
          <w:kern w:val="0"/>
          <w:sz w:val="24"/>
          <w:szCs w:val="24"/>
          <w:lang w:eastAsia="zh-CN" w:bidi="ar"/>
        </w:rPr>
        <w:t>。</w:t>
      </w:r>
    </w:p>
    <w:p>
      <w:pPr>
        <w:numPr>
          <w:ilvl w:val="0"/>
          <w:numId w:val="0"/>
        </w:numPr>
        <w:ind w:firstLine="480" w:firstLineChars="200"/>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2013年，美国零售商塔吉特（Target）成为其中一宗零售业历史上最大的数据泄露事件的受害者。据公司报告，超过 1800 家商店的 POS 系统被恶意软件渗透，大约4000万客户的信用卡和借记卡可能遭受欺诈。调查官怀疑，黑客利用从宾夕法尼亚州塔吉特计算机系统的第三方供应商法齐奥（Fazio）机械服务公司窃取的密码凭证闯入塔吉特网络。根据其 2013 年第四季度财务报表，塔吉特公司花费了约 6,100 万美元来应对这次数据泄露事件</w:t>
      </w:r>
      <w:r>
        <w:rPr>
          <w:rFonts w:hint="eastAsia" w:ascii="宋体" w:hAnsi="宋体" w:eastAsia="宋体" w:cs="宋体"/>
          <w:color w:val="000000"/>
          <w:kern w:val="0"/>
          <w:sz w:val="24"/>
          <w:szCs w:val="24"/>
          <w:vertAlign w:val="superscript"/>
          <w:lang w:eastAsia="zh-CN" w:bidi="ar"/>
        </w:rPr>
        <w:t>4</w:t>
      </w:r>
      <w:r>
        <w:rPr>
          <w:rFonts w:hint="eastAsia" w:ascii="宋体" w:hAnsi="宋体" w:eastAsia="宋体" w:cs="宋体"/>
          <w:color w:val="000000"/>
          <w:kern w:val="0"/>
          <w:sz w:val="24"/>
          <w:szCs w:val="24"/>
          <w:lang w:eastAsia="zh-CN" w:bidi="ar"/>
        </w:rPr>
        <w:t>。</w:t>
      </w:r>
    </w:p>
    <w:p>
      <w:pPr>
        <w:numPr>
          <w:ilvl w:val="0"/>
          <w:numId w:val="0"/>
        </w:numPr>
        <w:ind w:firstLine="480" w:firstLineChars="200"/>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2017 年，全球休闲食品制造商和美国市值最大的 100 家公司之一的亿滋国际（Mondelez International）成为 NotPetya 勒索软件攻击的受害者。该公司报告称，攻击病毒永久禁用了 1,700 台计算机服务器和 24,000 台笔记本电脑，估计总成本为 1 亿美元</w:t>
      </w:r>
      <w:r>
        <w:rPr>
          <w:rFonts w:hint="eastAsia" w:ascii="宋体" w:hAnsi="宋体" w:eastAsia="宋体" w:cs="宋体"/>
          <w:color w:val="000000"/>
          <w:kern w:val="0"/>
          <w:sz w:val="24"/>
          <w:szCs w:val="24"/>
          <w:vertAlign w:val="superscript"/>
          <w:lang w:eastAsia="zh-CN" w:bidi="ar"/>
        </w:rPr>
        <w:t>5</w:t>
      </w:r>
      <w:r>
        <w:rPr>
          <w:rFonts w:hint="eastAsia" w:ascii="宋体" w:hAnsi="宋体" w:eastAsia="宋体" w:cs="宋体"/>
          <w:color w:val="000000"/>
          <w:kern w:val="0"/>
          <w:sz w:val="24"/>
          <w:szCs w:val="24"/>
          <w:lang w:eastAsia="zh-CN" w:bidi="ar"/>
        </w:rPr>
        <w:t>。</w:t>
      </w:r>
    </w:p>
    <w:p>
      <w:pPr>
        <w:numPr>
          <w:ilvl w:val="0"/>
          <w:numId w:val="0"/>
        </w:numPr>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eastAsia="zh-CN" w:bidi="ar"/>
        </w:rPr>
        <w:t>网络攻击的肆虐，造成对网络保险的需求不断增长。据估计，全球网络保险市场的总收入复合年增长率将是 33.8％，从2019年的 29.2 亿美元增长到 2024 年的 167 亿美元</w:t>
      </w:r>
      <w:r>
        <w:rPr>
          <w:rFonts w:hint="eastAsia" w:ascii="宋体" w:hAnsi="宋体" w:eastAsia="宋体" w:cs="宋体"/>
          <w:color w:val="000000"/>
          <w:kern w:val="0"/>
          <w:sz w:val="24"/>
          <w:szCs w:val="24"/>
          <w:vertAlign w:val="superscript"/>
          <w:lang w:eastAsia="zh-CN" w:bidi="ar"/>
        </w:rPr>
        <w:t>6</w:t>
      </w:r>
      <w:r>
        <w:rPr>
          <w:rFonts w:hint="eastAsia" w:ascii="宋体" w:hAnsi="宋体" w:eastAsia="宋体" w:cs="宋体"/>
          <w:color w:val="000000"/>
          <w:kern w:val="0"/>
          <w:sz w:val="24"/>
          <w:szCs w:val="24"/>
          <w:lang w:eastAsia="zh-CN" w:bidi="ar"/>
        </w:rPr>
        <w:t>。受保险人预期将在遭受攻击后获得部分赔偿。此外，受保险人可以获取保险公司提供的专家建议，以帮助他们加强防御网络攻击的能力。</w:t>
      </w:r>
      <w:r>
        <w:rPr>
          <w:rFonts w:hint="eastAsia" w:ascii="宋体" w:hAnsi="宋体" w:eastAsia="宋体" w:cs="宋体"/>
          <w:color w:val="000000"/>
          <w:kern w:val="0"/>
          <w:sz w:val="24"/>
          <w:szCs w:val="24"/>
          <w:lang w:val="en-US" w:eastAsia="zh-CN" w:bidi="ar"/>
        </w:rPr>
        <w:t>然而，中小企业在网络攻击面前却是脆弱的，只有不到 5％的中小企业拥有网络保险</w:t>
      </w:r>
      <w:r>
        <w:rPr>
          <w:rFonts w:hint="default" w:ascii="宋体" w:hAnsi="宋体" w:eastAsia="宋体" w:cs="宋体"/>
          <w:color w:val="000000"/>
          <w:kern w:val="0"/>
          <w:sz w:val="24"/>
          <w:szCs w:val="24"/>
          <w:vertAlign w:val="superscript"/>
          <w:lang w:val="en-US" w:eastAsia="zh-CN" w:bidi="ar"/>
        </w:rPr>
        <w:t>7</w:t>
      </w:r>
      <w:r>
        <w:rPr>
          <w:rFonts w:hint="eastAsia" w:ascii="宋体" w:hAnsi="宋体" w:eastAsia="宋体" w:cs="宋体"/>
          <w:color w:val="000000"/>
          <w:kern w:val="0"/>
          <w:sz w:val="24"/>
          <w:szCs w:val="24"/>
          <w:lang w:val="en-US" w:eastAsia="zh-CN" w:bidi="ar"/>
        </w:rPr>
        <w:t xml:space="preserve">。例如在 </w:t>
      </w:r>
      <w:r>
        <w:rPr>
          <w:rFonts w:hint="default" w:ascii="宋体" w:hAnsi="宋体" w:eastAsia="宋体" w:cs="宋体"/>
          <w:color w:val="000000"/>
          <w:kern w:val="0"/>
          <w:sz w:val="24"/>
          <w:szCs w:val="24"/>
          <w:lang w:val="en-US" w:eastAsia="zh-CN" w:bidi="ar"/>
        </w:rPr>
        <w:t xml:space="preserve">Target </w:t>
      </w:r>
      <w:r>
        <w:rPr>
          <w:rFonts w:hint="eastAsia" w:ascii="宋体" w:hAnsi="宋体" w:eastAsia="宋体" w:cs="宋体"/>
          <w:color w:val="000000"/>
          <w:kern w:val="0"/>
          <w:sz w:val="24"/>
          <w:szCs w:val="24"/>
          <w:lang w:val="en-US" w:eastAsia="zh-CN" w:bidi="ar"/>
        </w:rPr>
        <w:t xml:space="preserve">网络攻击事件中，正是一家小公司的遭受入侵，对整个供应链网络中 的众合作伙伴造成了严重损害。实际上，供应链攻击是网络攻击中被普遍采用的策略，在 </w:t>
      </w:r>
      <w:r>
        <w:rPr>
          <w:rFonts w:hint="default" w:ascii="宋体" w:hAnsi="宋体" w:eastAsia="宋体" w:cs="宋体"/>
          <w:color w:val="000000"/>
          <w:kern w:val="0"/>
          <w:sz w:val="24"/>
          <w:szCs w:val="24"/>
          <w:lang w:val="en-US" w:eastAsia="zh-CN" w:bidi="ar"/>
        </w:rPr>
        <w:t xml:space="preserve">2018 </w:t>
      </w:r>
      <w:r>
        <w:rPr>
          <w:rFonts w:hint="eastAsia" w:ascii="宋体" w:hAnsi="宋体" w:eastAsia="宋体" w:cs="宋体"/>
          <w:color w:val="000000"/>
          <w:kern w:val="0"/>
          <w:sz w:val="24"/>
          <w:szCs w:val="24"/>
          <w:lang w:val="en-US" w:eastAsia="zh-CN" w:bidi="ar"/>
        </w:rPr>
        <w:t xml:space="preserve">年增长了 </w:t>
      </w:r>
      <w:r>
        <w:rPr>
          <w:rFonts w:hint="default" w:ascii="宋体" w:hAnsi="宋体" w:eastAsia="宋体" w:cs="宋体"/>
          <w:color w:val="000000"/>
          <w:kern w:val="0"/>
          <w:sz w:val="24"/>
          <w:szCs w:val="24"/>
          <w:lang w:val="en-US" w:eastAsia="zh-CN" w:bidi="ar"/>
        </w:rPr>
        <w:t>79</w:t>
      </w:r>
      <w:r>
        <w:rPr>
          <w:rFonts w:hint="eastAsia" w:ascii="宋体" w:hAnsi="宋体" w:eastAsia="宋体" w:cs="宋体"/>
          <w:color w:val="000000"/>
          <w:kern w:val="0"/>
          <w:sz w:val="24"/>
          <w:szCs w:val="24"/>
          <w:lang w:val="en-US" w:eastAsia="zh-CN" w:bidi="ar"/>
        </w:rPr>
        <w:t>％</w:t>
      </w:r>
      <w:r>
        <w:rPr>
          <w:rFonts w:hint="default" w:ascii="宋体" w:hAnsi="宋体" w:eastAsia="宋体" w:cs="宋体"/>
          <w:color w:val="000000"/>
          <w:kern w:val="0"/>
          <w:sz w:val="24"/>
          <w:szCs w:val="24"/>
          <w:vertAlign w:val="superscript"/>
          <w:lang w:val="en-US" w:eastAsia="zh-CN" w:bidi="ar"/>
        </w:rPr>
        <w:t>8</w:t>
      </w:r>
      <w:r>
        <w:rPr>
          <w:rFonts w:hint="eastAsia" w:ascii="宋体" w:hAnsi="宋体" w:eastAsia="宋体" w:cs="宋体"/>
          <w:color w:val="000000"/>
          <w:kern w:val="0"/>
          <w:sz w:val="24"/>
          <w:szCs w:val="24"/>
          <w:lang w:val="en-US" w:eastAsia="zh-CN" w:bidi="ar"/>
        </w:rPr>
        <w:t>。</w:t>
      </w:r>
    </w:p>
    <w:p>
      <w:pPr>
        <w:numPr>
          <w:ilvl w:val="0"/>
          <w:numId w:val="0"/>
        </w:numPr>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考虑一家拥有许多中小型供应商的巨型公司。为了保护自己免受供应链攻击，这家巨型公司计划只从已拥有足够网络保险的供应商那里进行采购。为了激励供应商，这家巨型公司愿意为每一家供应商支付部分网络保险费。您如何确定这家巨型公司应为每家供应商支付的保费？请建立您的数学建模解决方案，并为这家巨型公司提供网络保险激励策略。</w:t>
      </w:r>
    </w:p>
    <w:p>
      <w:pPr>
        <w:numPr>
          <w:ilvl w:val="0"/>
          <w:numId w:val="0"/>
        </w:numPr>
        <w:ind w:firstLine="480" w:firstLineChars="200"/>
        <w:jc w:val="both"/>
        <w:rPr>
          <w:rFonts w:hint="eastAsia" w:ascii="宋体" w:hAnsi="宋体" w:eastAsia="宋体" w:cs="宋体"/>
          <w:color w:val="000000"/>
          <w:kern w:val="0"/>
          <w:sz w:val="24"/>
          <w:szCs w:val="24"/>
          <w:lang w:val="en-US" w:eastAsia="zh-CN" w:bidi="ar"/>
        </w:rPr>
      </w:pPr>
    </w:p>
    <w:p>
      <w:pPr>
        <w:numPr>
          <w:ilvl w:val="0"/>
          <w:numId w:val="0"/>
        </w:numPr>
        <w:jc w:val="both"/>
        <w:rPr>
          <w:rFonts w:hint="eastAsia"/>
          <w:b/>
          <w:bCs/>
          <w:sz w:val="24"/>
          <w:szCs w:val="24"/>
        </w:rPr>
      </w:pPr>
      <w:r>
        <w:rPr>
          <w:rFonts w:hint="eastAsia"/>
          <w:b/>
          <w:bCs/>
          <w:sz w:val="24"/>
          <w:szCs w:val="24"/>
        </w:rPr>
        <w:t>提交</w:t>
      </w:r>
    </w:p>
    <w:p>
      <w:pPr>
        <w:numPr>
          <w:ilvl w:val="0"/>
          <w:numId w:val="0"/>
        </w:numPr>
        <w:ind w:firstLine="480" w:firstLineChars="200"/>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您的解决方案论文应包括1页的摘要，正文不能超过 20 页，含摘要最多 21 页。 附录和参考资料应出现在正文之后，不算在 21 页的限制之内。</w:t>
      </w:r>
    </w:p>
    <w:p>
      <w:pPr>
        <w:numPr>
          <w:ilvl w:val="0"/>
          <w:numId w:val="0"/>
        </w:numPr>
        <w:jc w:val="both"/>
        <w:rPr>
          <w:rFonts w:hint="default" w:ascii="宋体" w:hAnsi="宋体" w:eastAsia="宋体" w:cs="宋体"/>
          <w:color w:val="000000"/>
          <w:kern w:val="0"/>
          <w:sz w:val="24"/>
          <w:szCs w:val="24"/>
          <w:lang w:eastAsia="zh-CN" w:bidi="ar"/>
        </w:rPr>
      </w:pPr>
    </w:p>
    <w:p>
      <w:pPr>
        <w:numPr>
          <w:ilvl w:val="0"/>
          <w:numId w:val="0"/>
        </w:numPr>
        <w:jc w:val="both"/>
        <w:rPr>
          <w:rFonts w:hint="default" w:ascii="宋体" w:hAnsi="宋体" w:eastAsia="宋体" w:cs="宋体"/>
          <w:b/>
          <w:bCs/>
          <w:color w:val="000000"/>
          <w:kern w:val="0"/>
          <w:sz w:val="24"/>
          <w:szCs w:val="24"/>
          <w:lang w:eastAsia="zh-CN" w:bidi="ar"/>
        </w:rPr>
      </w:pPr>
    </w:p>
    <w:p>
      <w:pPr>
        <w:numPr>
          <w:ilvl w:val="0"/>
          <w:numId w:val="0"/>
        </w:numPr>
        <w:jc w:val="both"/>
        <w:rPr>
          <w:rFonts w:hint="default" w:ascii="宋体" w:hAnsi="宋体" w:eastAsia="宋体" w:cs="宋体"/>
          <w:b/>
          <w:bCs/>
          <w:color w:val="000000"/>
          <w:kern w:val="0"/>
          <w:sz w:val="24"/>
          <w:szCs w:val="24"/>
          <w:lang w:eastAsia="zh-CN" w:bidi="ar"/>
        </w:rPr>
      </w:pPr>
      <w:r>
        <w:rPr>
          <w:rFonts w:hint="default" w:ascii="宋体" w:hAnsi="宋体" w:eastAsia="宋体" w:cs="宋体"/>
          <w:b/>
          <w:bCs/>
          <w:color w:val="000000"/>
          <w:kern w:val="0"/>
          <w:sz w:val="24"/>
          <w:szCs w:val="24"/>
          <w:lang w:eastAsia="zh-CN" w:bidi="ar"/>
        </w:rPr>
        <w:t>参考文献</w:t>
      </w:r>
    </w:p>
    <w:p>
      <w:pPr>
        <w:numPr>
          <w:ilvl w:val="0"/>
          <w:numId w:val="0"/>
        </w:numPr>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1.</w:t>
      </w:r>
      <w:r>
        <w:rPr>
          <w:rFonts w:hint="eastAsia" w:asciiTheme="minorEastAsia" w:hAnsiTheme="minorEastAsia" w:eastAsiaTheme="minorEastAsia" w:cstheme="minorEastAsia"/>
          <w:color w:val="000000"/>
          <w:kern w:val="0"/>
          <w:sz w:val="24"/>
          <w:szCs w:val="24"/>
          <w:lang w:val="en-US" w:eastAsia="zh-CN" w:bidi="ar"/>
        </w:rPr>
        <w:t xml:space="preserve">https://www.ogcio.gov.hk/sc/news/legco_papers/2019/02/doc/lb_20190218.pdf </w:t>
      </w:r>
    </w:p>
    <w:p>
      <w:pPr>
        <w:numPr>
          <w:ilvl w:val="0"/>
          <w:numId w:val="0"/>
        </w:numPr>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HYPERLINK "https://doi.org/10.1787/9789264282148-en" </w:instrText>
      </w:r>
      <w:r>
        <w:rPr>
          <w:rFonts w:hint="eastAsia" w:asciiTheme="minorEastAsia" w:hAnsiTheme="minorEastAsia" w:eastAsiaTheme="minorEastAsia" w:cstheme="minorEastAsia"/>
          <w:color w:val="000000"/>
          <w:kern w:val="0"/>
          <w:sz w:val="24"/>
          <w:szCs w:val="24"/>
          <w:lang w:val="en-US" w:eastAsia="zh-CN" w:bidi="ar"/>
        </w:rPr>
        <w:fldChar w:fldCharType="separate"/>
      </w:r>
      <w:r>
        <w:rPr>
          <w:rFonts w:hint="eastAsia" w:asciiTheme="minorEastAsia" w:hAnsiTheme="minorEastAsia" w:eastAsiaTheme="minorEastAsia" w:cstheme="minorEastAsia"/>
          <w:color w:val="000000"/>
          <w:kern w:val="0"/>
          <w:sz w:val="24"/>
          <w:szCs w:val="24"/>
          <w:lang w:val="en-US" w:eastAsia="zh-CN" w:bidi="ar"/>
        </w:rPr>
        <w:t>https://doi.org/10.1787/9789264282148-en</w:t>
      </w:r>
      <w:r>
        <w:rPr>
          <w:rFonts w:hint="eastAsia" w:asciiTheme="minorEastAsia" w:hAnsiTheme="minorEastAsia" w:eastAsiaTheme="minorEastAsia" w:cstheme="minorEastAsia"/>
          <w:color w:val="000000"/>
          <w:kern w:val="0"/>
          <w:sz w:val="24"/>
          <w:szCs w:val="24"/>
          <w:lang w:val="en-US" w:eastAsia="zh-CN" w:bidi="ar"/>
        </w:rPr>
        <w:fldChar w:fldCharType="end"/>
      </w:r>
    </w:p>
    <w:p>
      <w:pPr>
        <w:numPr>
          <w:ilvl w:val="0"/>
          <w:numId w:val="0"/>
        </w:numPr>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3 </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val="en-US" w:eastAsia="zh-CN" w:bidi="ar"/>
        </w:rPr>
        <w:t xml:space="preserve">https://www.ibm.com/security/data-breach </w:t>
      </w:r>
    </w:p>
    <w:p>
      <w:pPr>
        <w:numPr>
          <w:ilvl w:val="0"/>
          <w:numId w:val="0"/>
        </w:numPr>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4 </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HYPERLINK "https://en.wikipedia.org/wiki/Supply_chain_attack" </w:instrText>
      </w:r>
      <w:r>
        <w:rPr>
          <w:rFonts w:hint="eastAsia" w:asciiTheme="minorEastAsia" w:hAnsiTheme="minorEastAsia" w:eastAsiaTheme="minorEastAsia" w:cstheme="minorEastAsia"/>
          <w:color w:val="000000"/>
          <w:kern w:val="0"/>
          <w:sz w:val="24"/>
          <w:szCs w:val="24"/>
          <w:lang w:val="en-US" w:eastAsia="zh-CN" w:bidi="ar"/>
        </w:rPr>
        <w:fldChar w:fldCharType="separate"/>
      </w:r>
      <w:r>
        <w:rPr>
          <w:rFonts w:hint="eastAsia" w:asciiTheme="minorEastAsia" w:hAnsiTheme="minorEastAsia" w:eastAsiaTheme="minorEastAsia" w:cstheme="minorEastAsia"/>
          <w:color w:val="000000"/>
          <w:kern w:val="0"/>
          <w:sz w:val="24"/>
          <w:szCs w:val="24"/>
          <w:lang w:val="en-US" w:eastAsia="zh-CN" w:bidi="ar"/>
        </w:rPr>
        <w:t>https://en.wikipedia.org/wiki/Supply_chain_attack</w:t>
      </w:r>
      <w:r>
        <w:rPr>
          <w:rFonts w:hint="eastAsia" w:asciiTheme="minorEastAsia" w:hAnsiTheme="minorEastAsia" w:eastAsiaTheme="minorEastAsia" w:cstheme="minorEastAsia"/>
          <w:color w:val="000000"/>
          <w:kern w:val="0"/>
          <w:sz w:val="24"/>
          <w:szCs w:val="24"/>
          <w:lang w:val="en-US" w:eastAsia="zh-CN" w:bidi="ar"/>
        </w:rPr>
        <w:fldChar w:fldCharType="end"/>
      </w:r>
    </w:p>
    <w:p>
      <w:pPr>
        <w:numPr>
          <w:ilvl w:val="0"/>
          <w:numId w:val="0"/>
        </w:numPr>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5 </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val="en-US" w:eastAsia="zh-CN" w:bidi="ar"/>
        </w:rPr>
        <w:t>https://en.wikipedia.org/wiki/Petya_(malware)</w:t>
      </w:r>
    </w:p>
    <w:p>
      <w:pPr>
        <w:numPr>
          <w:ilvl w:val="0"/>
          <w:numId w:val="0"/>
        </w:numPr>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6.</w:t>
      </w:r>
      <w:r>
        <w:rPr>
          <w:rFonts w:hint="eastAsia" w:asciiTheme="minorEastAsia" w:hAnsiTheme="minorEastAsia" w:eastAsiaTheme="minorEastAsia" w:cstheme="minorEastAsia"/>
          <w:color w:val="000000"/>
          <w:kern w:val="0"/>
          <w:sz w:val="24"/>
          <w:szCs w:val="24"/>
          <w:lang w:val="en-US" w:eastAsia="zh-CN" w:bidi="ar"/>
        </w:rPr>
        <w:t xml:space="preserve">https://www.marketwatch.com/press-release/338-growth-for-cyber-insurance-market-size-to-2024-2019-02-08 </w:t>
      </w:r>
    </w:p>
    <w:p>
      <w:pPr>
        <w:numPr>
          <w:ilvl w:val="0"/>
          <w:numId w:val="0"/>
        </w:numPr>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7 </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val="en-US" w:eastAsia="zh-CN" w:bidi="ar"/>
        </w:rPr>
        <w:t xml:space="preserve">https://www.aon.com/inpoint/bin/pdfs/white-papers/Cyber.pdf </w:t>
      </w:r>
    </w:p>
    <w:p>
      <w:pPr>
        <w:numPr>
          <w:ilvl w:val="0"/>
          <w:numId w:val="0"/>
        </w:numPr>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 xml:space="preserve">8. </w:t>
      </w:r>
      <w:r>
        <w:rPr>
          <w:rFonts w:hint="eastAsia" w:asciiTheme="minorEastAsia" w:hAnsiTheme="minorEastAsia" w:eastAsiaTheme="minorEastAsia" w:cstheme="minorEastAsia"/>
          <w:color w:val="000000"/>
          <w:kern w:val="0"/>
          <w:sz w:val="24"/>
          <w:szCs w:val="24"/>
          <w:lang w:val="en-US" w:eastAsia="zh-CN" w:bidi="ar"/>
        </w:rPr>
        <w:t>https://en.wikipedia.org/wiki/Supply_chain_attack</w:t>
      </w:r>
    </w:p>
    <w:p>
      <w:pPr>
        <w:keepNext w:val="0"/>
        <w:keepLines w:val="0"/>
        <w:widowControl/>
        <w:suppressLineNumbers w:val="0"/>
        <w:jc w:val="left"/>
        <w:rPr>
          <w:rFonts w:hint="default" w:ascii="Calibri" w:hAnsi="Calibri" w:eastAsia="宋体" w:cs="Calibri"/>
          <w:color w:val="0000FF"/>
          <w:kern w:val="0"/>
          <w:sz w:val="19"/>
          <w:szCs w:val="19"/>
          <w:lang w:val="en-US" w:eastAsia="zh-CN" w:bidi="ar"/>
        </w:rPr>
      </w:pPr>
    </w:p>
    <w:p>
      <w:pPr>
        <w:numPr>
          <w:ilvl w:val="0"/>
          <w:numId w:val="0"/>
        </w:numPr>
        <w:jc w:val="both"/>
        <w:rPr>
          <w:rFonts w:hint="default" w:ascii="宋体" w:hAnsi="宋体" w:eastAsia="宋体" w:cs="宋体"/>
          <w:b w:val="0"/>
          <w:bCs w:val="0"/>
          <w:color w:val="000000"/>
          <w:kern w:val="0"/>
          <w:sz w:val="24"/>
          <w:szCs w:val="24"/>
          <w:lang w:eastAsia="zh-CN" w:bidi="ar"/>
        </w:rPr>
      </w:pPr>
    </w:p>
    <w:p>
      <w:pPr>
        <w:numPr>
          <w:ilvl w:val="0"/>
          <w:numId w:val="0"/>
        </w:numPr>
        <w:jc w:val="both"/>
        <w:rPr>
          <w:rFonts w:hint="eastAsia" w:ascii="宋体" w:hAnsi="宋体" w:eastAsia="宋体" w:cs="宋体"/>
          <w:color w:val="000000"/>
          <w:kern w:val="0"/>
          <w:sz w:val="24"/>
          <w:szCs w:val="24"/>
          <w:lang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Times">
    <w:panose1 w:val="00000500000000020000"/>
    <w:charset w:val="00"/>
    <w:family w:val="auto"/>
    <w:pitch w:val="default"/>
    <w:sig w:usb0="E00002FF" w:usb1="5000205A" w:usb2="00000000" w:usb3="00000000" w:csb0="2000019F" w:csb1="4F010000"/>
  </w:font>
  <w:font w:name="Symbol">
    <w:panose1 w:val="05050102010706020507"/>
    <w:charset w:val="00"/>
    <w:family w:val="auto"/>
    <w:pitch w:val="default"/>
    <w:sig w:usb0="00000000" w:usb1="00000000" w:usb2="00000000" w:usb3="00000000" w:csb0="80000000" w:csb1="00000000"/>
  </w:font>
  <w:font w:name="TimesNewRomanPSMT">
    <w:altName w:val="苹方-简"/>
    <w:panose1 w:val="00000000000000000000"/>
    <w:charset w:val="00"/>
    <w:family w:val="auto"/>
    <w:pitch w:val="default"/>
    <w:sig w:usb0="00000000" w:usb1="00000000" w:usb2="00000000" w:usb3="00000000" w:csb0="00000000" w:csb1="00000000"/>
  </w:font>
  <w:font w:name="Times-Roman">
    <w:altName w:val="苹方-简"/>
    <w:panose1 w:val="00000000000000000000"/>
    <w:charset w:val="00"/>
    <w:family w:val="auto"/>
    <w:pitch w:val="default"/>
    <w:sig w:usb0="00000000" w:usb1="00000000" w:usb2="00000000" w:usb3="00000000" w:csb0="00000000" w:csb1="00000000"/>
  </w:font>
  <w:font w:name="兰亭黑-繁">
    <w:panose1 w:val="03000509000000000000"/>
    <w:charset w:val="88"/>
    <w:family w:val="auto"/>
    <w:pitch w:val="default"/>
    <w:sig w:usb0="00000001" w:usb1="080E0000" w:usb2="00000000" w:usb3="00000000" w:csb0="00100000" w:csb1="00000000"/>
  </w:font>
  <w:font w:name="Plantagenet Cherokee">
    <w:panose1 w:val="02020000000000000000"/>
    <w:charset w:val="00"/>
    <w:family w:val="auto"/>
    <w:pitch w:val="default"/>
    <w:sig w:usb0="80000003" w:usb1="00000000" w:usb2="00001000" w:usb3="00000000" w:csb0="200001F3" w:csb1="CDFC0000"/>
  </w:font>
  <w:font w:name="STIXSizeThreeSym">
    <w:panose1 w:val="00000000000000000000"/>
    <w:charset w:val="00"/>
    <w:family w:val="auto"/>
    <w:pitch w:val="default"/>
    <w:sig w:usb0="00000003" w:usb1="000000C0" w:usb2="00000000" w:usb3="00000000" w:csb0="A0000001" w:csb1="90FE0000"/>
  </w:font>
  <w:font w:name="New Peninim MT">
    <w:panose1 w:val="00000000000000000000"/>
    <w:charset w:val="00"/>
    <w:family w:val="auto"/>
    <w:pitch w:val="default"/>
    <w:sig w:usb0="80000843" w:usb1="40000002" w:usb2="00000000" w:usb3="00000000" w:csb0="00000001" w:csb1="00000000"/>
  </w:font>
  <w:font w:name="Nanum Pen Script">
    <w:panose1 w:val="03040600000000000000"/>
    <w:charset w:val="81"/>
    <w:family w:val="auto"/>
    <w:pitch w:val="default"/>
    <w:sig w:usb0="800002A7" w:usb1="01D7FCFB" w:usb2="00000010" w:usb3="00000000" w:csb0="00080001" w:csb1="00000000"/>
  </w:font>
  <w:font w:name="Nanum Myeongjo">
    <w:panose1 w:val="02020603020101020101"/>
    <w:charset w:val="81"/>
    <w:family w:val="auto"/>
    <w:pitch w:val="default"/>
    <w:sig w:usb0="800002A7" w:usb1="01D7FCFB" w:usb2="00000010" w:usb3="00000000" w:csb0="00080001" w:csb1="00000000"/>
  </w:font>
  <w:font w:name="Myanmar Sangam MN">
    <w:panose1 w:val="00000500000000000000"/>
    <w:charset w:val="00"/>
    <w:family w:val="auto"/>
    <w:pitch w:val="default"/>
    <w:sig w:usb0="00000001" w:usb1="00000000" w:usb2="00000000" w:usb3="00000000" w:csb0="00000001" w:csb1="00000000"/>
  </w:font>
  <w:font w:name="Lao MN">
    <w:panose1 w:val="00000500000000000000"/>
    <w:charset w:val="00"/>
    <w:family w:val="auto"/>
    <w:pitch w:val="default"/>
    <w:sig w:usb0="02000001"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Krungthep">
    <w:panose1 w:val="02000400000000000000"/>
    <w:charset w:val="00"/>
    <w:family w:val="auto"/>
    <w:pitch w:val="default"/>
    <w:sig w:usb0="810000FF" w:usb1="5000204A" w:usb2="00000020" w:usb3="00000000" w:csb0="20000193" w:csb1="4D000000"/>
  </w:font>
  <w:font w:name="蘋果儷中黑">
    <w:panose1 w:val="00000000000000000000"/>
    <w:charset w:val="00"/>
    <w:family w:val="auto"/>
    <w:pitch w:val="default"/>
    <w:sig w:usb0="800000E3" w:usb1="30C97878" w:usb2="00000016" w:usb3="00000000" w:csb0="00000001" w:csb1="00000000"/>
  </w:font>
  <w:font w:name="標楷體">
    <w:panose1 w:val="0201060100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23789"/>
    <w:multiLevelType w:val="singleLevel"/>
    <w:tmpl w:val="5EC23789"/>
    <w:lvl w:ilvl="0" w:tentative="0">
      <w:start w:val="1"/>
      <w:numFmt w:val="decimal"/>
      <w:suff w:val="space"/>
      <w:lvlText w:val="%1."/>
      <w:lvlJc w:val="left"/>
    </w:lvl>
  </w:abstractNum>
  <w:abstractNum w:abstractNumId="1">
    <w:nsid w:val="5EC237F7"/>
    <w:multiLevelType w:val="singleLevel"/>
    <w:tmpl w:val="5EC237F7"/>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EBF8F"/>
    <w:rsid w:val="5BFEBF8F"/>
    <w:rsid w:val="7FF5407D"/>
    <w:rsid w:val="FFFDC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Office_1.9.0.2959_F1E327BC-269C-435d-A152-05C5408002CA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2020-05-19T06:45:00Z</dcterms:created>
  <dc:creator>zhanghuizeng</dc:creator>
  <cp:lastModifiedBy>zhanghuizeng</cp:lastModifiedBy>
  <dcterms:modified xsi:type="dcterms:W3CDTF">2020-05-19T06:55:16Z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