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仿宋" w:hAnsi="仿宋" w:eastAsia="仿宋" w:cs="STSong-Light"/>
          <w:kern w:val="0"/>
          <w:sz w:val="32"/>
          <w:szCs w:val="32"/>
        </w:rPr>
        <w:t>附件：参赛作品提交时间和提交材料要求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仿宋" w:hAnsi="仿宋" w:eastAsia="仿宋" w:cs="STSong-Light"/>
          <w:kern w:val="0"/>
          <w:sz w:val="32"/>
          <w:szCs w:val="32"/>
        </w:rPr>
        <w:t>提交时间：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202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3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年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4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月</w:t>
      </w:r>
      <w:r>
        <w:rPr>
          <w:rFonts w:hint="eastAsia" w:ascii="仿宋" w:hAnsi="仿宋" w:eastAsia="仿宋" w:cs="STSong-Light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0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月前。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仿宋" w:hAnsi="仿宋" w:eastAsia="仿宋" w:cs="STSong-Light"/>
          <w:kern w:val="0"/>
          <w:sz w:val="32"/>
          <w:szCs w:val="32"/>
          <w:lang w:val="en-US" w:eastAsia="zh-CN"/>
        </w:rPr>
        <w:t>提交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材料要求：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宋体" w:cs="Times New Roman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）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机械设计竞赛参赛作品报名表电子稿和纸质稿（附件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3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）;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宋体" w:cs="Times New Roman"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）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设计说明书电子稿和4份纸质稿(其中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3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份不含任何学校、个人信息，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1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份包含学校、个人信息，设计说明书模板见附件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4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)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宋体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）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浙江省大学生机械设计竞赛作品查新报告纸质稿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4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份(要求同说明书)（附件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5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），具体要求参照《教育部科技查新工作站查新报告撰写规范》；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宋体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）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图纸电子稿和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4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份纸质稿(要求同说明书)，包括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A0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或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A1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总装配图、部件装配图或若干重要零件图；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宋体" w:cs="Times New Roman"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）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介绍作品的视频录像（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3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分钟之内，限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mp4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、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mpg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、</w:t>
      </w:r>
      <w:r>
        <w:rPr>
          <w:rFonts w:hint="eastAsia" w:ascii="Times New Roman" w:hAnsi="Times New Roman" w:eastAsia="宋体" w:cs="Times New Roman"/>
          <w:bCs/>
          <w:sz w:val="32"/>
          <w:szCs w:val="32"/>
        </w:rPr>
        <w:t>rmvb</w:t>
      </w:r>
      <w:r>
        <w:rPr>
          <w:rFonts w:hint="eastAsia" w:ascii="仿宋" w:hAnsi="仿宋" w:eastAsia="仿宋" w:cs="STSong-Light"/>
          <w:kern w:val="0"/>
          <w:sz w:val="32"/>
          <w:szCs w:val="32"/>
        </w:rPr>
        <w:t>等常用格式），视频内不含任何学校、个人信息。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附件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：</w:t>
      </w:r>
    </w:p>
    <w:tbl>
      <w:tblPr>
        <w:tblStyle w:val="9"/>
        <w:tblpPr w:leftFromText="180" w:rightFromText="180" w:vertAnchor="text" w:horzAnchor="margin" w:tblpXSpec="right" w:tblpY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02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8" w:type="dxa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编号</w:t>
            </w:r>
          </w:p>
        </w:tc>
        <w:tc>
          <w:tcPr>
            <w:tcW w:w="10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bCs/>
          <w:sz w:val="30"/>
          <w:szCs w:val="30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 xml:space="preserve">杭州师范大学第一届大学生机械设计竞赛 </w:t>
      </w:r>
    </w:p>
    <w:p>
      <w:pPr>
        <w:jc w:val="center"/>
        <w:rPr>
          <w:rFonts w:ascii="仿宋_GB2312" w:eastAsia="仿宋_GB2312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暨第二十届浙江省大学生机械设计竞赛选拔赛参赛作品报名表</w:t>
      </w:r>
    </w:p>
    <w:tbl>
      <w:tblPr>
        <w:tblStyle w:val="9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24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作品类别</w:t>
            </w:r>
          </w:p>
        </w:tc>
        <w:tc>
          <w:tcPr>
            <w:tcW w:w="6773" w:type="dxa"/>
            <w:gridSpan w:val="9"/>
            <w:vAlign w:val="center"/>
          </w:tcPr>
          <w:p>
            <w:pPr>
              <w:ind w:left="-2" w:leftChars="-27" w:hanging="55" w:hangingChars="23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先进制造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助农共富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参赛者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作品内容简介</w:t>
            </w:r>
          </w:p>
          <w:p>
            <w:pPr>
              <w:wordWrap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（限400字以内）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主要创新点（限200字以内）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推广应用价值（限200字以内）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是□/否□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仿宋_GB2312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本人代表本作品所有参赛者和指导教师承诺：已知晓并自愿接受本大赛章程、评审规则和评审办法；</w:t>
            </w: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本参赛作品没有抄袭他人创意、作品和专利技术</w:t>
            </w:r>
            <w:r>
              <w:rPr>
                <w:rFonts w:hint="eastAsia" w:ascii="仿宋_GB2312" w:hAnsi="宋体" w:eastAsia="仿宋_GB2312"/>
                <w:szCs w:val="21"/>
              </w:rPr>
              <w:t>；</w:t>
            </w:r>
            <w:r>
              <w:rPr>
                <w:rFonts w:hint="eastAsia" w:ascii="仿宋_GB2312" w:eastAsia="仿宋_GB2312" w:cs="宋体"/>
                <w:bCs/>
                <w:kern w:val="0"/>
                <w:szCs w:val="21"/>
              </w:rPr>
              <w:t>不以任何方式干扰评审委员会的工作；服从大赛组委会最终裁决。如有违反，一切后果由本参赛队承担。</w:t>
            </w:r>
          </w:p>
          <w:p>
            <w:pPr>
              <w:spacing w:before="156" w:beforeLines="50"/>
              <w:ind w:firstLine="2520" w:firstLineChars="10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指导教师（签名）：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u w:val="single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 xml:space="preserve">（签名或盖章）      （公   章） 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     月       日  </w:t>
            </w:r>
          </w:p>
        </w:tc>
      </w:tr>
    </w:tbl>
    <w:p>
      <w:pPr>
        <w:spacing w:before="156" w:beforeLines="50"/>
        <w:ind w:right="27" w:rightChars="13" w:firstLine="432" w:firstLineChars="1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写说明：1）编号申报者不填写，由组委会统一填写；2）请填写作品类别；3）联系人应由各学校指派；4）每个作品的参赛者不超过5人，指导教师不超过2人，本人须签名；5）制作费用主要包括：购买元器件和材料费、外协零件加工费等，不含调研、差旅、资料、学生人工费；6）学校推荐意见一栏的负责人应为教务处负责人，并加盖教务处公章；7）</w:t>
      </w:r>
      <w:r>
        <w:rPr>
          <w:rFonts w:hint="eastAsia" w:ascii="仿宋_GB2312" w:eastAsia="仿宋_GB2312"/>
          <w:b/>
          <w:bCs/>
          <w:sz w:val="24"/>
        </w:rPr>
        <w:t>本表双面打印在一张A4纸上</w:t>
      </w:r>
      <w:r>
        <w:rPr>
          <w:rFonts w:hint="eastAsia" w:ascii="仿宋_GB2312" w:eastAsia="仿宋_GB2312"/>
          <w:sz w:val="24"/>
        </w:rPr>
        <w:t>。</w:t>
      </w:r>
    </w:p>
    <w:p>
      <w:pPr>
        <w:ind w:firstLine="480" w:firstLineChars="200"/>
        <w:rPr>
          <w:rFonts w:ascii="仿宋_GB2312" w:eastAsia="仿宋_GB2312"/>
          <w:sz w:val="24"/>
        </w:rPr>
      </w:pPr>
    </w:p>
    <w:p>
      <w:pPr>
        <w:spacing w:beforeLines="0" w:afterLines="0"/>
        <w:rPr>
          <w:rFonts w:hint="eastAsia" w:ascii="黑体" w:hAnsi="黑体" w:eastAsia="黑体" w:cs="黑体"/>
          <w:spacing w:val="20"/>
          <w:sz w:val="30"/>
          <w:szCs w:val="24"/>
        </w:rPr>
      </w:pPr>
      <w:r>
        <w:rPr>
          <w:rFonts w:hint="eastAsia" w:ascii="黑体" w:hAnsi="黑体" w:eastAsia="黑体" w:cs="黑体"/>
          <w:spacing w:val="20"/>
          <w:sz w:val="30"/>
          <w:szCs w:val="24"/>
        </w:rPr>
        <w:t>附件4：</w:t>
      </w:r>
    </w:p>
    <w:p>
      <w:pPr>
        <w:spacing w:beforeLines="0" w:afterLines="0"/>
        <w:jc w:val="center"/>
        <w:rPr>
          <w:rFonts w:hint="eastAsia" w:ascii="仿宋_GB2312" w:eastAsia="仿宋_GB2312"/>
          <w:b/>
          <w:spacing w:val="20"/>
          <w:sz w:val="30"/>
          <w:szCs w:val="24"/>
        </w:rPr>
      </w:pPr>
      <w:r>
        <w:rPr>
          <w:rFonts w:hint="default" w:ascii="方正小标宋简体" w:hAnsi="方正小标宋简体" w:eastAsia="方正小标宋简体" w:cs="方正小标宋简体"/>
          <w:b/>
          <w:spacing w:val="20"/>
          <w:sz w:val="30"/>
          <w:szCs w:val="24"/>
        </w:rPr>
        <w:t>机械设计竞赛参赛作品设计说明书格式要求说明（封面可自行设计）</w:t>
      </w:r>
    </w:p>
    <w:p>
      <w:pPr>
        <w:spacing w:beforeLines="0" w:afterLines="0" w:line="480" w:lineRule="exact"/>
        <w:ind w:firstLine="560" w:firstLineChars="200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1．总体要求</w:t>
      </w:r>
    </w:p>
    <w:p>
      <w:pPr>
        <w:spacing w:beforeLines="0" w:afterLines="0"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全文控制在10～20页以内，并按以下顺序编排：作品名+“设计说明书”、设计者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采用word 2000及以上版本编排。</w:t>
      </w:r>
    </w:p>
    <w:p>
      <w:pPr>
        <w:spacing w:beforeLines="0" w:afterLines="0" w:line="480" w:lineRule="exact"/>
        <w:ind w:firstLine="560" w:firstLineChars="200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2．页面要求</w:t>
      </w:r>
    </w:p>
    <w:p>
      <w:pPr>
        <w:spacing w:beforeLines="0" w:afterLines="0"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A4页面。页边距：上25mm，下25mm，左、右各20mm。标准字间距，1.5倍行间距。不要设置页眉，页码位于页面底部居中。</w:t>
      </w:r>
    </w:p>
    <w:p>
      <w:pPr>
        <w:spacing w:beforeLines="0" w:afterLines="0" w:line="480" w:lineRule="exact"/>
        <w:ind w:firstLine="560" w:firstLineChars="200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3．图表要求</w:t>
      </w:r>
    </w:p>
    <w:p>
      <w:pPr>
        <w:spacing w:beforeLines="0" w:afterLines="0"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spacing w:beforeLines="0" w:afterLines="0"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表格按序编号，并加表题（位于表上方）。采用三线表，必要时可加辅助线。</w:t>
      </w:r>
    </w:p>
    <w:p>
      <w:pPr>
        <w:spacing w:beforeLines="0" w:afterLines="0"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4．字号、字体要求</w:t>
      </w: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="156" w:beforeLines="50" w:after="156" w:afterLines="50"/>
        <w:jc w:val="center"/>
        <w:rPr>
          <w:rFonts w:hint="default" w:eastAsia="黑体"/>
          <w:sz w:val="32"/>
          <w:szCs w:val="24"/>
        </w:rPr>
      </w:pPr>
    </w:p>
    <w:p>
      <w:pPr>
        <w:spacing w:before="156" w:beforeLines="50" w:after="156" w:afterLines="50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eastAsia="黑体"/>
          <w:sz w:val="32"/>
          <w:szCs w:val="24"/>
        </w:rPr>
        <w:t>油罐车注油自动控制系统设计说明书</w:t>
      </w:r>
      <w:r>
        <w:rPr>
          <w:rFonts w:hint="eastAsia" w:eastAsia="黑体"/>
          <w:sz w:val="32"/>
          <w:szCs w:val="24"/>
        </w:rPr>
        <w:commentReference w:id="0"/>
      </w:r>
      <w:r>
        <w:rPr>
          <w:rFonts w:hint="eastAsia" w:ascii="黑体" w:eastAsia="黑体"/>
          <w:sz w:val="32"/>
          <w:szCs w:val="32"/>
        </w:rPr>
        <w:t xml:space="preserve"> </w:t>
      </w:r>
    </w:p>
    <w:p>
      <w:pPr>
        <w:spacing w:beforeLines="0" w:afterLine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设计者：×××，×××，×××，×××，×××</w:t>
      </w:r>
      <w:r>
        <w:rPr>
          <w:rFonts w:hint="eastAsia" w:ascii="宋体" w:hAnsi="宋体"/>
          <w:sz w:val="24"/>
          <w:szCs w:val="24"/>
        </w:rPr>
        <w:commentReference w:id="1"/>
      </w:r>
    </w:p>
    <w:p>
      <w:pPr>
        <w:spacing w:beforeLines="0" w:afterLines="0"/>
        <w:jc w:val="center"/>
        <w:rPr>
          <w:rFonts w:hint="eastAsia" w:ascii="宋体" w:hAnsi="宋体"/>
          <w:sz w:val="24"/>
          <w:szCs w:val="24"/>
        </w:rPr>
      </w:pPr>
    </w:p>
    <w:p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（XX工业大学机电学院，西安710072）</w:t>
      </w:r>
      <w:r>
        <w:rPr>
          <w:rFonts w:hint="eastAsia"/>
          <w:sz w:val="24"/>
          <w:szCs w:val="24"/>
        </w:rPr>
        <w:commentReference w:id="2"/>
      </w:r>
    </w:p>
    <w:p>
      <w:pPr>
        <w:spacing w:beforeLines="0" w:afterLines="0"/>
        <w:outlineLvl w:val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（空一行）</w:t>
      </w:r>
    </w:p>
    <w:p>
      <w:pPr>
        <w:spacing w:beforeLines="0" w:afterLines="0"/>
        <w:jc w:val="center"/>
        <w:rPr>
          <w:rFonts w:hint="default" w:eastAsia="黑体"/>
          <w:sz w:val="24"/>
          <w:szCs w:val="24"/>
        </w:rPr>
      </w:pPr>
      <w:commentRangeStart w:id="3"/>
      <w:r>
        <w:rPr>
          <w:rFonts w:hint="eastAsia" w:eastAsia="黑体"/>
          <w:sz w:val="24"/>
          <w:szCs w:val="24"/>
        </w:rPr>
        <w:t>作品内容简介</w:t>
      </w:r>
      <w:commentRangeEnd w:id="3"/>
      <w:r>
        <w:rPr>
          <w:rFonts w:hint="eastAsia" w:eastAsia="黑体"/>
          <w:sz w:val="24"/>
          <w:szCs w:val="24"/>
        </w:rPr>
        <w:commentReference w:id="3"/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通过实验设计了一套自动加油系统……（</w:t>
      </w:r>
      <w:r>
        <w:rPr>
          <w:rFonts w:hint="eastAsia"/>
          <w:sz w:val="24"/>
          <w:szCs w:val="24"/>
        </w:rPr>
        <w:t>400—600字以内）。联系人、联系电话、EMAIL</w:t>
      </w:r>
    </w:p>
    <w:p>
      <w:pPr>
        <w:spacing w:beforeLines="0" w:afterLines="0" w:line="360" w:lineRule="auto"/>
        <w:outlineLvl w:val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（空一行）</w:t>
      </w:r>
    </w:p>
    <w:p>
      <w:pPr>
        <w:spacing w:before="156" w:beforeLines="50" w:after="156" w:afterLines="50"/>
        <w:rPr>
          <w:rFonts w:hint="eastAsia" w:ascii="黑体" w:eastAsia="黑体"/>
          <w:b/>
          <w:sz w:val="24"/>
          <w:szCs w:val="24"/>
        </w:rPr>
      </w:pPr>
      <w:r>
        <w:rPr>
          <w:rFonts w:hint="default" w:eastAsia="黑体"/>
          <w:b/>
          <w:sz w:val="24"/>
          <w:szCs w:val="24"/>
        </w:rPr>
        <w:t>1</w:t>
      </w:r>
      <w:r>
        <w:rPr>
          <w:rFonts w:hint="eastAsia" w:eastAsia="黑体"/>
          <w:b/>
          <w:sz w:val="24"/>
          <w:szCs w:val="24"/>
        </w:rPr>
        <w:t xml:space="preserve"> </w:t>
      </w:r>
      <w:r>
        <w:rPr>
          <w:rFonts w:hint="eastAsia" w:ascii="黑体" w:eastAsia="黑体"/>
          <w:b/>
          <w:sz w:val="24"/>
          <w:szCs w:val="24"/>
        </w:rPr>
        <w:t>研制背景及意义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新疆塔里木石油基地，目前从油井打出的原油储存到储油罐后，从储油罐向油罐车注油时，一个人需站在油罐车上注油口旁观察油罐是否加满，而另一个人关闭阀门。因在原油内含有大量的有毒气体（硫化氢）,从安全角度考虑站在油罐车上的人必须戴上防毒面具…………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</w:p>
    <w:p>
      <w:pPr>
        <w:spacing w:before="156" w:beforeLines="50" w:after="156" w:afterLines="50"/>
        <w:rPr>
          <w:rFonts w:hint="default" w:eastAsia="黑体"/>
          <w:b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>2 主要功能和性能指标</w:t>
      </w:r>
    </w:p>
    <w:p>
      <w:pPr>
        <w:spacing w:before="156" w:beforeLines="50" w:after="156" w:afterLines="50"/>
        <w:ind w:firstLine="240" w:firstLineChars="100"/>
        <w:rPr>
          <w:rFonts w:hint="default" w:eastAsia="黑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…………</w:t>
      </w:r>
    </w:p>
    <w:p>
      <w:pPr>
        <w:spacing w:before="156" w:beforeLines="50" w:after="156" w:afterLines="50"/>
        <w:rPr>
          <w:rFonts w:hint="eastAsia" w:ascii="黑体" w:eastAsia="黑体"/>
          <w:b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>3</w:t>
      </w:r>
      <w:r>
        <w:rPr>
          <w:rFonts w:hint="eastAsia" w:ascii="黑体" w:eastAsia="黑体"/>
          <w:b/>
          <w:sz w:val="24"/>
          <w:szCs w:val="24"/>
        </w:rPr>
        <w:t xml:space="preserve"> 设计方案</w:t>
      </w:r>
      <w:r>
        <w:rPr>
          <w:rFonts w:hint="eastAsia" w:ascii="黑体" w:eastAsia="黑体"/>
          <w:b/>
          <w:sz w:val="24"/>
          <w:szCs w:val="24"/>
        </w:rPr>
        <w:commentReference w:id="4"/>
      </w:r>
    </w:p>
    <w:p>
      <w:pPr>
        <w:widowControl/>
        <w:spacing w:beforeLines="0" w:after="156" w:afterLines="50"/>
        <w:jc w:val="left"/>
        <w:rPr>
          <w:rFonts w:hint="eastAsia" w:ascii="黑体" w:hAnsi="宋体" w:eastAsia="黑体"/>
          <w:kern w:val="0"/>
          <w:sz w:val="24"/>
          <w:szCs w:val="24"/>
        </w:rPr>
      </w:pPr>
      <w:r>
        <w:rPr>
          <w:rFonts w:hint="eastAsia" w:eastAsia="黑体"/>
          <w:sz w:val="24"/>
          <w:szCs w:val="24"/>
        </w:rPr>
        <w:t xml:space="preserve">3.1 </w:t>
      </w:r>
      <w:r>
        <w:rPr>
          <w:rFonts w:hint="eastAsia" w:ascii="黑体" w:hAnsi="宋体" w:eastAsia="黑体"/>
          <w:sz w:val="24"/>
          <w:szCs w:val="24"/>
        </w:rPr>
        <w:t>电磁控制</w:t>
      </w:r>
    </w:p>
    <w:p>
      <w:pPr>
        <w:widowControl/>
        <w:spacing w:beforeLines="0" w:afterLines="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用电磁控制比较容易实现，但是因为防火、防暴的原因，加油区不得用电，无法用电磁控制……</w:t>
      </w:r>
    </w:p>
    <w:p>
      <w:pPr>
        <w:widowControl/>
        <w:spacing w:beforeLines="0" w:afterLines="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……</w:t>
      </w:r>
    </w:p>
    <w:p>
      <w:pPr>
        <w:spacing w:beforeLines="0" w:after="156" w:afterLines="50"/>
        <w:rPr>
          <w:rFonts w:hint="default"/>
          <w:sz w:val="24"/>
          <w:szCs w:val="24"/>
        </w:rPr>
      </w:pPr>
      <w:r>
        <w:rPr>
          <w:rFonts w:hint="eastAsia" w:eastAsia="黑体"/>
          <w:sz w:val="24"/>
          <w:szCs w:val="24"/>
        </w:rPr>
        <w:t xml:space="preserve">3.2 </w:t>
      </w:r>
      <w:r>
        <w:rPr>
          <w:rFonts w:hint="eastAsia" w:ascii="黑体" w:hAnsi="宋体" w:eastAsia="黑体"/>
          <w:sz w:val="24"/>
          <w:szCs w:val="24"/>
        </w:rPr>
        <w:t>气动控制</w:t>
      </w:r>
    </w:p>
    <w:p>
      <w:pPr>
        <w:widowControl/>
        <w:spacing w:beforeLines="0" w:afterLines="0" w:line="360" w:lineRule="auto"/>
        <w:ind w:firstLine="480" w:firstLineChars="200"/>
        <w:jc w:val="left"/>
        <w:rPr>
          <w:rFonts w:hint="default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用气动控制，气源的空气压缩机也要用电，但可以将空气压缩机放置在远离加油区的位置。我们最终选择了这一方案。</w:t>
      </w:r>
      <w:r>
        <w:rPr>
          <w:rFonts w:hint="eastAsia"/>
          <w:sz w:val="24"/>
          <w:szCs w:val="24"/>
        </w:rPr>
        <w:t>如图1所示，……</w:t>
      </w:r>
    </w:p>
    <w:p>
      <w:pPr>
        <w:widowControl/>
        <w:spacing w:beforeLines="0" w:afterLines="0" w:line="360" w:lineRule="auto"/>
        <w:ind w:firstLine="482" w:firstLineChars="200"/>
        <w:jc w:val="center"/>
        <w:rPr>
          <w:rFonts w:hint="eastAsia" w:ascii="宋体" w:hAnsi="宋体"/>
          <w:sz w:val="24"/>
          <w:szCs w:val="24"/>
        </w:rPr>
      </w:pPr>
      <w:r>
        <w:rPr>
          <w:rFonts w:hint="default"/>
          <w:b/>
          <w:sz w:val="24"/>
          <w:szCs w:val="24"/>
        </w:rPr>
        <w:drawing>
          <wp:inline distT="0" distB="0" distL="114300" distR="114300">
            <wp:extent cx="2304415" cy="5547360"/>
            <wp:effectExtent l="0" t="0" r="1206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 w:line="360" w:lineRule="auto"/>
        <w:ind w:firstLine="480" w:firstLineChars="20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rFonts w:hint="default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气动控制机构原理图</w:t>
      </w:r>
    </w:p>
    <w:p>
      <w:pPr>
        <w:spacing w:beforeLines="0" w:afterLines="0" w:line="360" w:lineRule="auto"/>
        <w:rPr>
          <w:rFonts w:hint="eastAsia" w:ascii="宋体" w:hAnsi="宋体"/>
          <w:sz w:val="24"/>
          <w:szCs w:val="24"/>
        </w:rPr>
      </w:pP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气动方案设计时考虑的主要问题：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spacing w:beforeLines="0" w:afterLines="0" w:line="360" w:lineRule="auto"/>
        <w:ind w:firstLine="480" w:firstLineChars="200"/>
        <w:rPr>
          <w:rFonts w:hint="default"/>
          <w:i/>
          <w:sz w:val="24"/>
          <w:szCs w:val="24"/>
        </w:rPr>
      </w:pPr>
      <w:r>
        <w:rPr>
          <w:rFonts w:hint="eastAsia"/>
          <w:i/>
          <w:sz w:val="24"/>
          <w:szCs w:val="24"/>
        </w:rPr>
        <w:t>正文中表示物理量的符号，表示点、线、面的字母均用</w:t>
      </w:r>
      <w:r>
        <w:rPr>
          <w:rFonts w:hint="default"/>
          <w:i/>
          <w:sz w:val="24"/>
          <w:szCs w:val="24"/>
        </w:rPr>
        <w:t>Times New Roman</w:t>
      </w:r>
      <w:r>
        <w:rPr>
          <w:rFonts w:hint="eastAsia"/>
          <w:i/>
          <w:sz w:val="24"/>
          <w:szCs w:val="24"/>
        </w:rPr>
        <w:t>斜体；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表示法定计量单位、词头的符号、函数等，化学元素符号均用</w:t>
      </w:r>
      <w:r>
        <w:rPr>
          <w:rFonts w:hint="default"/>
          <w:sz w:val="24"/>
          <w:szCs w:val="24"/>
        </w:rPr>
        <w:t>Times New Roman</w:t>
      </w:r>
      <w:r>
        <w:rPr>
          <w:rFonts w:hint="eastAsia"/>
          <w:sz w:val="24"/>
          <w:szCs w:val="24"/>
        </w:rPr>
        <w:t>正体。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spacing w:beforeLines="0" w:afterLines="0"/>
        <w:ind w:firstLine="480" w:firstLineChars="200"/>
        <w:rPr>
          <w:rFonts w:hint="default"/>
          <w:sz w:val="24"/>
          <w:szCs w:val="24"/>
        </w:rPr>
      </w:pPr>
    </w:p>
    <w:p>
      <w:pPr>
        <w:spacing w:before="156" w:beforeLines="50" w:after="156" w:afterLines="50"/>
        <w:rPr>
          <w:rFonts w:hint="eastAsia" w:ascii="黑体" w:eastAsia="黑体"/>
          <w:b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 xml:space="preserve">4 </w:t>
      </w:r>
      <w:r>
        <w:rPr>
          <w:rFonts w:hint="eastAsia" w:ascii="黑体" w:eastAsia="黑体"/>
          <w:b/>
          <w:sz w:val="24"/>
          <w:szCs w:val="24"/>
        </w:rPr>
        <w:t>理论设计计算</w:t>
      </w:r>
    </w:p>
    <w:p>
      <w:pPr>
        <w:spacing w:beforeLines="0" w:afterLines="0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spacing w:beforeLines="0" w:afterLines="0"/>
        <w:ind w:firstLine="480" w:firstLineChars="200"/>
        <w:rPr>
          <w:rFonts w:hint="default"/>
          <w:sz w:val="24"/>
          <w:szCs w:val="24"/>
        </w:rPr>
      </w:pPr>
    </w:p>
    <w:p>
      <w:pPr>
        <w:spacing w:before="156" w:beforeLines="50" w:after="156" w:afterLines="50"/>
        <w:rPr>
          <w:rFonts w:hint="default" w:eastAsia="黑体"/>
          <w:b/>
          <w:sz w:val="24"/>
          <w:szCs w:val="24"/>
        </w:rPr>
      </w:pPr>
    </w:p>
    <w:p>
      <w:pPr>
        <w:spacing w:before="156" w:beforeLines="50" w:after="156" w:afterLines="50"/>
        <w:rPr>
          <w:rFonts w:hint="default" w:eastAsia="黑体"/>
          <w:b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 xml:space="preserve">5 </w:t>
      </w:r>
      <w:r>
        <w:rPr>
          <w:rFonts w:hint="eastAsia" w:ascii="黑体" w:hAnsi="宋体" w:eastAsia="黑体"/>
          <w:b/>
          <w:sz w:val="24"/>
          <w:szCs w:val="24"/>
        </w:rPr>
        <w:t>工作原理及性能分析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完成制作后，作品实物外形照片见图9。</w:t>
      </w:r>
    </w:p>
    <w:p>
      <w:pPr>
        <w:spacing w:before="156" w:beforeLines="50" w:after="156" w:afterLines="50"/>
        <w:outlineLvl w:val="0"/>
        <w:rPr>
          <w:rFonts w:hint="eastAsia" w:ascii="黑体" w:hAnsi="宋体" w:eastAsia="黑体"/>
          <w:b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 xml:space="preserve">6 </w:t>
      </w:r>
      <w:r>
        <w:rPr>
          <w:rFonts w:hint="eastAsia" w:ascii="黑体" w:hAnsi="宋体" w:eastAsia="黑体"/>
          <w:b/>
          <w:sz w:val="24"/>
          <w:szCs w:val="24"/>
        </w:rPr>
        <w:t>创新点及应用</w:t>
      </w:r>
    </w:p>
    <w:p>
      <w:pPr>
        <w:widowControl/>
        <w:spacing w:beforeLines="0" w:afterLines="0" w:line="360" w:lineRule="auto"/>
        <w:ind w:firstLine="480" w:firstLineChars="200"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1）适用于向不同类型的油罐车（容积不同、注油口高度不同）灌油。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2）操作和控制简便，任何工作人员很容易地使用它。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vanish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3）……。 </w:t>
      </w:r>
    </w:p>
    <w:p>
      <w:pPr>
        <w:spacing w:beforeLines="0" w:afterLines="0" w:line="360" w:lineRule="auto"/>
        <w:rPr>
          <w:rFonts w:hint="eastAsia" w:ascii="宋体" w:hAnsi="宋体"/>
          <w:sz w:val="24"/>
          <w:szCs w:val="24"/>
        </w:rPr>
      </w:pP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在新疆塔里木油田，油井的数量很多，所有的注油装置都需要改进，因此应用前景很广。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spacing w:beforeLines="0" w:afterLines="0" w:line="360" w:lineRule="auto"/>
        <w:ind w:firstLine="480" w:firstLineChars="200"/>
        <w:rPr>
          <w:rFonts w:hint="default"/>
          <w:i/>
          <w:sz w:val="24"/>
          <w:szCs w:val="24"/>
        </w:rPr>
      </w:pPr>
      <w:r>
        <w:rPr>
          <w:rFonts w:hint="eastAsia"/>
          <w:i/>
          <w:sz w:val="24"/>
          <w:szCs w:val="24"/>
        </w:rPr>
        <w:t>正文中表示物理量的符号，表示点、线、面的字母均用</w:t>
      </w:r>
      <w:r>
        <w:rPr>
          <w:rFonts w:hint="default"/>
          <w:i/>
          <w:sz w:val="24"/>
          <w:szCs w:val="24"/>
        </w:rPr>
        <w:t>Times New Roman</w:t>
      </w:r>
      <w:r>
        <w:rPr>
          <w:rFonts w:hint="eastAsia"/>
          <w:i/>
          <w:sz w:val="24"/>
          <w:szCs w:val="24"/>
        </w:rPr>
        <w:t>斜体；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表示法定计量单位、词头的符号、函数等，化学元素符号均用</w:t>
      </w:r>
      <w:r>
        <w:rPr>
          <w:rFonts w:hint="default"/>
          <w:sz w:val="24"/>
          <w:szCs w:val="24"/>
        </w:rPr>
        <w:t>Times New Roman</w:t>
      </w:r>
      <w:r>
        <w:rPr>
          <w:rFonts w:hint="eastAsia"/>
          <w:sz w:val="24"/>
          <w:szCs w:val="24"/>
        </w:rPr>
        <w:t>正体。</w:t>
      </w:r>
    </w:p>
    <w:p>
      <w:pPr>
        <w:spacing w:beforeLines="0" w:afterLines="0" w:line="360" w:lineRule="auto"/>
        <w:ind w:firstLine="480" w:firstLineChars="2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spacing w:beforeLines="0" w:afterLines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（空一行）</w:t>
      </w:r>
    </w:p>
    <w:p>
      <w:pPr>
        <w:spacing w:beforeLines="0" w:afterLines="0"/>
        <w:jc w:val="center"/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参考文献</w:t>
      </w:r>
    </w:p>
    <w:p>
      <w:pPr>
        <w:spacing w:beforeLines="0" w:afterLines="0"/>
        <w:jc w:val="center"/>
        <w:rPr>
          <w:rFonts w:hint="eastAsia" w:ascii="黑体" w:eastAsia="黑体"/>
          <w:sz w:val="24"/>
          <w:szCs w:val="24"/>
        </w:rPr>
      </w:pPr>
    </w:p>
    <w:p>
      <w:pPr>
        <w:numPr>
          <w:ilvl w:val="0"/>
          <w:numId w:val="1"/>
        </w:numPr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xxx，xxx．可重构模块化机器人现状和发展．机器人，2001，23(3)</w:t>
      </w:r>
      <w:r>
        <w:rPr>
          <w:rFonts w:hint="eastAsia"/>
          <w:sz w:val="24"/>
          <w:szCs w:val="24"/>
        </w:rPr>
        <w:commentReference w:id="5"/>
      </w:r>
      <w:r>
        <w:rPr>
          <w:rFonts w:hint="eastAsia"/>
          <w:sz w:val="24"/>
          <w:szCs w:val="24"/>
        </w:rPr>
        <w:t>：275-279</w:t>
      </w:r>
    </w:p>
    <w:p>
      <w:pPr>
        <w:numPr>
          <w:ilvl w:val="0"/>
          <w:numId w:val="1"/>
        </w:numPr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xxx．机器人技术基础．xxxxxx出版社，1996：15-47</w:t>
      </w:r>
    </w:p>
    <w:p>
      <w:pPr>
        <w:numPr>
          <w:ilvl w:val="0"/>
          <w:numId w:val="1"/>
        </w:numPr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xxxxx，xxxx．xxx，xxx译．机器人操作的数学导论．xxxx出版社，</w:t>
      </w:r>
      <w:r>
        <w:rPr>
          <w:rFonts w:hint="default"/>
          <w:sz w:val="24"/>
          <w:szCs w:val="24"/>
        </w:rPr>
        <w:t>1998</w:t>
      </w:r>
      <w:r>
        <w:rPr>
          <w:rFonts w:hint="eastAsia"/>
          <w:sz w:val="24"/>
          <w:szCs w:val="24"/>
        </w:rPr>
        <w:t>：11-67</w:t>
      </w:r>
      <w:r>
        <w:rPr>
          <w:rFonts w:hint="eastAsia"/>
          <w:sz w:val="24"/>
          <w:szCs w:val="24"/>
        </w:rPr>
        <w:commentReference w:id="6"/>
      </w:r>
    </w:p>
    <w:p>
      <w:pPr>
        <w:numPr>
          <w:ilvl w:val="0"/>
          <w:numId w:val="1"/>
        </w:numPr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4"/>
          <w:szCs w:val="24"/>
        </w:rPr>
        <w:t>Lee H Y,</w:t>
      </w:r>
      <w:r>
        <w:rPr>
          <w:rFonts w:hint="default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Reinholtz C F. Inverse kinematic</w:t>
      </w:r>
      <w:r>
        <w:rPr>
          <w:rFonts w:hint="default"/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 of serial-chain manipulators[J]. ASME Journal of Mechanical Design</w:t>
      </w:r>
      <w:r>
        <w:rPr>
          <w:rFonts w:hint="default"/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1996,</w:t>
      </w:r>
      <w:r>
        <w:rPr>
          <w:rFonts w:hint="default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118(3):</w:t>
      </w:r>
      <w:r>
        <w:rPr>
          <w:rFonts w:hint="default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396-404</w:t>
      </w: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" w:hAnsi="仿宋" w:eastAsia="仿宋" w:cs="STSong-Light"/>
          <w:kern w:val="0"/>
          <w:sz w:val="32"/>
          <w:szCs w:val="32"/>
        </w:rPr>
      </w:pPr>
    </w:p>
    <w:p>
      <w:pPr>
        <w:pStyle w:val="24"/>
        <w:spacing w:line="300" w:lineRule="auto"/>
        <w:ind w:firstLine="480" w:firstLineChars="200"/>
      </w:pPr>
    </w:p>
    <w:p>
      <w:pPr>
        <w:pStyle w:val="24"/>
        <w:spacing w:line="300" w:lineRule="auto"/>
        <w:ind w:firstLine="480" w:firstLineChars="200"/>
      </w:pPr>
    </w:p>
    <w:p>
      <w:pPr>
        <w:pStyle w:val="24"/>
        <w:spacing w:line="300" w:lineRule="auto"/>
        <w:ind w:firstLine="480" w:firstLineChars="200"/>
      </w:pPr>
    </w:p>
    <w:p>
      <w:pPr>
        <w:pStyle w:val="24"/>
        <w:spacing w:line="300" w:lineRule="auto"/>
        <w:ind w:firstLine="480" w:firstLineChars="200"/>
      </w:pPr>
    </w:p>
    <w:p>
      <w:pPr>
        <w:pStyle w:val="24"/>
        <w:spacing w:line="300" w:lineRule="auto"/>
        <w:ind w:firstLine="480" w:firstLineChars="200"/>
      </w:pPr>
    </w:p>
    <w:p>
      <w:pPr>
        <w:rPr>
          <w:rFonts w:hint="eastAsia" w:ascii="黑体" w:hAnsi="黑体" w:eastAsia="黑体" w:cs="黑体"/>
          <w:b w:val="0"/>
          <w:bCs/>
          <w:spacing w:val="20"/>
          <w:sz w:val="30"/>
        </w:rPr>
      </w:pPr>
      <w:r>
        <w:rPr>
          <w:rFonts w:hint="eastAsia" w:ascii="黑体" w:hAnsi="黑体" w:eastAsia="黑体" w:cs="黑体"/>
          <w:b w:val="0"/>
          <w:bCs/>
          <w:spacing w:val="20"/>
          <w:sz w:val="30"/>
        </w:rPr>
        <w:t>附件5：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浙江省大学生机械设计竞赛作品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查新报告</w:t>
      </w:r>
    </w:p>
    <w:p>
      <w:pPr>
        <w:ind w:firstLine="1485"/>
        <w:rPr>
          <w:rFonts w:hint="eastAsia" w:ascii="宋体" w:hAnsi="宋体"/>
          <w:sz w:val="28"/>
        </w:rPr>
      </w:pPr>
    </w:p>
    <w:p>
      <w:pPr>
        <w:ind w:firstLine="1485"/>
        <w:rPr>
          <w:rFonts w:hint="eastAsia" w:ascii="宋体" w:hAnsi="宋体"/>
          <w:sz w:val="28"/>
        </w:rPr>
      </w:pPr>
    </w:p>
    <w:p>
      <w:pPr>
        <w:ind w:left="3083" w:leftChars="706" w:hanging="1600" w:hangingChars="500"/>
        <w:rPr>
          <w:rFonts w:hint="eastAsia" w:ascii="宋体" w:hAnsi="宋体"/>
          <w:sz w:val="32"/>
          <w:szCs w:val="32"/>
        </w:rPr>
      </w:pPr>
    </w:p>
    <w:p>
      <w:pPr>
        <w:ind w:left="3083" w:leftChars="706" w:hanging="1600" w:hangingChars="5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作品名称：　</w:t>
      </w:r>
    </w:p>
    <w:p>
      <w:pPr>
        <w:ind w:firstLine="1485"/>
        <w:rPr>
          <w:rFonts w:hint="eastAsia" w:ascii="宋体" w:hAnsi="宋体"/>
          <w:sz w:val="32"/>
          <w:szCs w:val="32"/>
        </w:rPr>
      </w:pPr>
    </w:p>
    <w:p>
      <w:pPr>
        <w:ind w:firstLine="1485"/>
        <w:rPr>
          <w:rFonts w:hint="eastAsia" w:ascii="宋体" w:hAnsi="宋体"/>
          <w:sz w:val="32"/>
          <w:szCs w:val="32"/>
        </w:rPr>
      </w:pPr>
    </w:p>
    <w:p>
      <w:pPr>
        <w:ind w:firstLine="1485"/>
        <w:rPr>
          <w:rFonts w:hint="eastAsia" w:ascii="宋体" w:hAnsi="宋体"/>
          <w:sz w:val="32"/>
          <w:szCs w:val="32"/>
        </w:rPr>
      </w:pPr>
    </w:p>
    <w:p>
      <w:pPr>
        <w:ind w:firstLine="148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作品参赛队员：　　</w:t>
      </w:r>
    </w:p>
    <w:p>
      <w:pPr>
        <w:ind w:firstLine="1485"/>
        <w:rPr>
          <w:rFonts w:hint="eastAsia" w:ascii="宋体" w:hAnsi="宋体"/>
          <w:sz w:val="32"/>
          <w:szCs w:val="32"/>
        </w:rPr>
      </w:pPr>
    </w:p>
    <w:p>
      <w:pPr>
        <w:ind w:firstLine="1485"/>
        <w:rPr>
          <w:rFonts w:hint="eastAsia" w:ascii="宋体" w:hAnsi="宋体"/>
          <w:sz w:val="32"/>
          <w:szCs w:val="32"/>
        </w:rPr>
      </w:pPr>
    </w:p>
    <w:p>
      <w:pPr>
        <w:ind w:firstLine="1485"/>
        <w:rPr>
          <w:rFonts w:hint="eastAsia" w:ascii="宋体" w:hAnsi="宋体"/>
          <w:sz w:val="32"/>
          <w:szCs w:val="32"/>
        </w:rPr>
      </w:pPr>
    </w:p>
    <w:p>
      <w:pPr>
        <w:ind w:firstLine="1485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32"/>
          <w:szCs w:val="32"/>
        </w:rPr>
        <w:t>查新完成日期：</w:t>
      </w:r>
      <w:r>
        <w:rPr>
          <w:rFonts w:hint="eastAsia" w:ascii="宋体" w:hAnsi="宋体"/>
          <w:sz w:val="28"/>
        </w:rPr>
        <w:t>　　</w:t>
      </w:r>
    </w:p>
    <w:p>
      <w:pPr>
        <w:ind w:firstLine="1485"/>
        <w:rPr>
          <w:rFonts w:hint="eastAsia" w:ascii="宋体" w:hAnsi="宋体"/>
          <w:sz w:val="28"/>
        </w:rPr>
      </w:pPr>
    </w:p>
    <w:p>
      <w:pPr>
        <w:ind w:firstLine="1485"/>
        <w:rPr>
          <w:rFonts w:hint="eastAsia" w:ascii="宋体" w:hAnsi="宋体"/>
          <w:sz w:val="28"/>
        </w:rPr>
      </w:pPr>
    </w:p>
    <w:p>
      <w:pPr>
        <w:ind w:firstLine="1485"/>
        <w:rPr>
          <w:rFonts w:hint="eastAsia" w:ascii="宋体" w:hAnsi="宋体"/>
          <w:sz w:val="28"/>
        </w:rPr>
      </w:pPr>
    </w:p>
    <w:p>
      <w:pPr>
        <w:ind w:firstLine="1485"/>
        <w:rPr>
          <w:rFonts w:hint="eastAsia" w:ascii="宋体" w:hAnsi="宋体"/>
          <w:sz w:val="28"/>
        </w:rPr>
      </w:pPr>
    </w:p>
    <w:p>
      <w:pPr>
        <w:ind w:firstLine="1485"/>
        <w:rPr>
          <w:rFonts w:hint="eastAsia" w:ascii="宋体" w:hAnsi="宋体"/>
          <w:sz w:val="28"/>
        </w:rPr>
      </w:pPr>
    </w:p>
    <w:p>
      <w:pPr>
        <w:ind w:firstLine="1485"/>
        <w:rPr>
          <w:rFonts w:hint="eastAsia" w:ascii="宋体" w:hAnsi="宋体"/>
          <w:sz w:val="28"/>
        </w:rPr>
      </w:pPr>
    </w:p>
    <w:p>
      <w:pPr>
        <w:spacing w:line="360" w:lineRule="exact"/>
        <w:jc w:val="center"/>
        <w:rPr>
          <w:rFonts w:hint="eastAsia" w:ascii="黑体" w:hAnsi="宋体" w:eastAsia="黑体"/>
          <w:sz w:val="30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30"/>
        </w:rPr>
        <w:t>填写说明</w:t>
      </w:r>
    </w:p>
    <w:p>
      <w:pPr>
        <w:spacing w:before="60" w:line="360" w:lineRule="exact"/>
        <w:ind w:firstLine="425"/>
        <w:rPr>
          <w:rFonts w:hint="eastAsia"/>
        </w:rPr>
      </w:pPr>
      <w:r>
        <w:rPr>
          <w:rFonts w:hint="eastAsia"/>
          <w:b/>
          <w:bCs/>
        </w:rPr>
        <w:t>一、查新报告</w:t>
      </w:r>
      <w:r>
        <w:rPr>
          <w:rFonts w:hint="eastAsia"/>
        </w:rPr>
        <w:br w:type="textWrapping"/>
      </w:r>
      <w:r>
        <w:rPr>
          <w:rFonts w:hint="eastAsia"/>
        </w:rPr>
        <w:t>　　查新报告是查新者用书面形式就查新情况及其结论所做的正式陈述。</w:t>
      </w:r>
    </w:p>
    <w:p>
      <w:pPr>
        <w:spacing w:before="60" w:line="360" w:lineRule="exact"/>
        <w:ind w:firstLine="425"/>
        <w:rPr>
          <w:rFonts w:hint="eastAsia"/>
          <w:b/>
          <w:bCs/>
        </w:rPr>
      </w:pPr>
      <w:r>
        <w:rPr>
          <w:rFonts w:hint="eastAsia"/>
          <w:b/>
          <w:bCs/>
        </w:rPr>
        <w:t>二、查新报告格式说明</w:t>
      </w:r>
    </w:p>
    <w:p>
      <w:pPr>
        <w:spacing w:line="360" w:lineRule="exact"/>
        <w:ind w:firstLine="425"/>
        <w:rPr>
          <w:rFonts w:hint="eastAsia"/>
        </w:rPr>
      </w:pPr>
      <w:r>
        <w:rPr>
          <w:rFonts w:hint="eastAsia"/>
        </w:rPr>
        <w:t>本报告采用A4纸，每栏的大小，可随内容调整。</w:t>
      </w:r>
    </w:p>
    <w:p>
      <w:pPr>
        <w:spacing w:before="60" w:line="360" w:lineRule="exact"/>
        <w:ind w:firstLine="425"/>
        <w:rPr>
          <w:rFonts w:hint="eastAsia"/>
          <w:b/>
          <w:bCs/>
        </w:rPr>
      </w:pPr>
      <w:r>
        <w:rPr>
          <w:rFonts w:hint="eastAsia"/>
          <w:b/>
          <w:bCs/>
        </w:rPr>
        <w:t>三、报告内容应当打印；签字使用钢笔或者炭素笔。</w:t>
      </w:r>
    </w:p>
    <w:p>
      <w:pPr>
        <w:spacing w:before="60" w:line="360" w:lineRule="exact"/>
        <w:ind w:firstLine="425"/>
        <w:rPr>
          <w:rFonts w:hint="eastAsia"/>
          <w:b/>
          <w:bCs/>
        </w:rPr>
      </w:pPr>
      <w:r>
        <w:rPr>
          <w:rFonts w:hint="eastAsia"/>
          <w:b/>
          <w:bCs/>
        </w:rPr>
        <w:t>四、查新点与查新要求</w:t>
      </w:r>
    </w:p>
    <w:p>
      <w:pPr>
        <w:spacing w:before="60" w:line="360" w:lineRule="exact"/>
        <w:ind w:firstLine="584" w:firstLineChars="277"/>
        <w:rPr>
          <w:rFonts w:hint="eastAsia"/>
        </w:rPr>
      </w:pPr>
      <w:r>
        <w:rPr>
          <w:rFonts w:hint="eastAsia"/>
          <w:b/>
          <w:bCs/>
        </w:rPr>
        <w:t>查新点：</w:t>
      </w:r>
      <w:r>
        <w:rPr>
          <w:rFonts w:hint="eastAsia"/>
        </w:rPr>
        <w:t>是指需要查证的内容要点。</w:t>
      </w:r>
    </w:p>
    <w:p>
      <w:pPr>
        <w:spacing w:before="60" w:line="360" w:lineRule="exact"/>
        <w:ind w:firstLine="584" w:firstLineChars="277"/>
        <w:rPr>
          <w:rFonts w:hint="eastAsia"/>
        </w:rPr>
      </w:pPr>
      <w:r>
        <w:rPr>
          <w:rFonts w:hint="eastAsia"/>
          <w:b/>
          <w:bCs/>
        </w:rPr>
        <w:t>查新要求：</w:t>
      </w:r>
      <w:r>
        <w:rPr>
          <w:rFonts w:hint="eastAsia"/>
        </w:rPr>
        <w:t>（1）通过查新，证明在所查范围内有无相同或类似研究；（2）对查新项目分别或综合进行对比分析；（3）对查新项目的新颖性做出判断</w:t>
      </w:r>
    </w:p>
    <w:p>
      <w:pPr>
        <w:spacing w:before="60" w:line="360" w:lineRule="exact"/>
        <w:ind w:firstLine="425"/>
        <w:rPr>
          <w:rFonts w:hint="eastAsia"/>
          <w:b/>
          <w:bCs/>
        </w:rPr>
      </w:pPr>
      <w:r>
        <w:rPr>
          <w:rFonts w:hint="eastAsia"/>
          <w:b/>
          <w:bCs/>
        </w:rPr>
        <w:t>五、文献检索范围及检索策略</w:t>
      </w:r>
    </w:p>
    <w:p>
      <w:pPr>
        <w:spacing w:line="360" w:lineRule="exact"/>
        <w:ind w:firstLine="425"/>
        <w:rPr>
          <w:rFonts w:hint="eastAsia"/>
          <w:szCs w:val="20"/>
        </w:rPr>
      </w:pPr>
      <w:r>
        <w:rPr>
          <w:rFonts w:hint="eastAsia"/>
          <w:szCs w:val="20"/>
        </w:rPr>
        <w:t>应当列出对查新项目进行分析后所确定的手工检索的工具书、年限、主题词、分类号和计算机检索系统、数据库、文档、年限、检索词等。</w:t>
      </w:r>
    </w:p>
    <w:p>
      <w:pPr>
        <w:spacing w:before="60" w:line="360" w:lineRule="exact"/>
        <w:ind w:firstLine="425"/>
        <w:rPr>
          <w:rFonts w:hint="eastAsia"/>
          <w:b/>
          <w:bCs/>
          <w:szCs w:val="20"/>
        </w:rPr>
      </w:pPr>
      <w:r>
        <w:rPr>
          <w:rFonts w:hint="eastAsia"/>
          <w:b/>
          <w:bCs/>
          <w:szCs w:val="20"/>
        </w:rPr>
        <w:t>六、检索结果</w:t>
      </w:r>
    </w:p>
    <w:p>
      <w:pPr>
        <w:spacing w:line="360" w:lineRule="exact"/>
        <w:ind w:firstLine="425"/>
        <w:rPr>
          <w:rFonts w:hint="eastAsia"/>
          <w:szCs w:val="20"/>
        </w:rPr>
      </w:pPr>
      <w:r>
        <w:rPr>
          <w:rFonts w:hint="eastAsia"/>
          <w:szCs w:val="20"/>
        </w:rPr>
        <w:t>检索结果应当反映出通过对所检数据库和工</w:t>
      </w:r>
      <w:r>
        <w:rPr>
          <w:rFonts w:hint="eastAsia"/>
          <w:color w:val="000000"/>
          <w:szCs w:val="20"/>
        </w:rPr>
        <w:t>具书命中的相</w:t>
      </w:r>
      <w:r>
        <w:rPr>
          <w:rFonts w:hint="eastAsia"/>
          <w:szCs w:val="20"/>
        </w:rPr>
        <w:t>关文献情况及对相关文献的主要论点进行对比分析的客观情况。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</w:t>
      </w:r>
      <w:r>
        <w:rPr>
          <w:rFonts w:hint="eastAsia" w:eastAsia="仿宋_GB2312"/>
          <w:b/>
          <w:bCs/>
          <w:szCs w:val="20"/>
        </w:rPr>
        <w:t>检索结果应当包括下列内容：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①对所检数据库和工具书命中的相关文献情况进行简单描述；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②依据检出文献的相关程度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③对所列主要相关文献进行简要描述（一般可用原文中的摘要或者利用原文中的摘要进行抽提），对于密切相关文献，可节录部分原文并提供原文的复印件作为附录</w:t>
      </w:r>
    </w:p>
    <w:p>
      <w:pPr>
        <w:spacing w:before="60" w:line="360" w:lineRule="exact"/>
        <w:ind w:firstLine="425"/>
        <w:rPr>
          <w:rFonts w:hint="eastAsia"/>
          <w:b/>
          <w:bCs/>
        </w:rPr>
      </w:pPr>
      <w:r>
        <w:rPr>
          <w:rFonts w:hint="eastAsia"/>
          <w:b/>
          <w:bCs/>
        </w:rPr>
        <w:t>七、查新结论</w:t>
      </w:r>
    </w:p>
    <w:p>
      <w:pPr>
        <w:spacing w:line="360" w:lineRule="exact"/>
        <w:ind w:firstLine="425"/>
        <w:rPr>
          <w:rFonts w:hint="eastAsia"/>
          <w:szCs w:val="20"/>
        </w:rPr>
      </w:pPr>
      <w:r>
        <w:rPr>
          <w:rFonts w:hint="eastAsia"/>
          <w:szCs w:val="20"/>
        </w:rPr>
        <w:t>查新结论应当客观、公正、准确、清晰地反映查新项目的真实情况，不得误导。查新结论应当包括下列内容：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①相关文献检出情况；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②检索结果与查新项目的要点的比较分析；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③对查新项目新颖性的判断结论。</w:t>
      </w:r>
    </w:p>
    <w:p>
      <w:pPr>
        <w:spacing w:line="360" w:lineRule="exact"/>
        <w:ind w:firstLine="425"/>
        <w:rPr>
          <w:rFonts w:hint="eastAsia"/>
          <w:szCs w:val="20"/>
        </w:rPr>
      </w:pPr>
      <w:r>
        <w:rPr>
          <w:rFonts w:hint="eastAsia"/>
          <w:b/>
          <w:bCs/>
          <w:szCs w:val="20"/>
        </w:rPr>
        <w:t>八、申报者本人、所在学校及省级大赛主办单位的查新声明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查新报告应当包括经作品参赛队员、指导教师签字的查新声明。声明的内容可以参考下面的内容进行撰写。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（１）报告中陈述的事实是真实和准确的。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（２）我们按照项目查新规范进行查新、文献分析和审核，并做出上述查新结论。</w:t>
      </w:r>
    </w:p>
    <w:p>
      <w:pPr>
        <w:spacing w:line="360" w:lineRule="exact"/>
        <w:ind w:firstLine="425"/>
        <w:rPr>
          <w:rFonts w:hint="eastAsia"/>
          <w:b/>
          <w:bCs/>
          <w:szCs w:val="20"/>
        </w:rPr>
      </w:pPr>
      <w:r>
        <w:rPr>
          <w:rFonts w:hint="eastAsia"/>
          <w:b/>
          <w:bCs/>
          <w:szCs w:val="20"/>
        </w:rPr>
        <w:t>九、附件</w:t>
      </w:r>
    </w:p>
    <w:p>
      <w:pPr>
        <w:spacing w:line="360" w:lineRule="exact"/>
        <w:ind w:firstLine="420"/>
        <w:rPr>
          <w:rFonts w:hint="eastAsia"/>
          <w:szCs w:val="20"/>
        </w:rPr>
      </w:pPr>
      <w:r>
        <w:rPr>
          <w:rFonts w:hint="eastAsia"/>
          <w:szCs w:val="20"/>
        </w:rPr>
        <w:t>附件主要包括密切相关文献的题目、出处以及原文复制件；一般相关文献的题目、出处以及文摘。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黑体" w:hAnsi="Courier New" w:eastAsia="黑体" w:cs="Courier New"/>
          <w:kern w:val="0"/>
          <w:sz w:val="20"/>
          <w:szCs w:val="20"/>
        </w:rPr>
      </w:pPr>
      <w:r>
        <w:rPr>
          <w:rFonts w:ascii="黑体" w:hAnsi="Courier New" w:eastAsia="黑体" w:cs="Courier New"/>
          <w:kern w:val="0"/>
          <w:sz w:val="20"/>
          <w:szCs w:val="20"/>
        </w:rPr>
        <w:br w:type="page"/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6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1578" w:type="dxa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查新项目名称</w:t>
            </w:r>
          </w:p>
        </w:tc>
        <w:tc>
          <w:tcPr>
            <w:tcW w:w="6944" w:type="dxa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hint="eastAsia" w:ascii="黑体" w:hAnsi="Courier New" w:eastAsia="黑体" w:cs="Courier New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黑体" w:cs="Courier New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查新目的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6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二．查新项目的创新要点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三．查新点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  <w:t>查新点</w:t>
            </w: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四．文献检索范围及检索策略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文献检索范围：</w:t>
            </w:r>
          </w:p>
          <w:p>
            <w:pPr>
              <w:spacing w:line="360" w:lineRule="auto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  <w:t>查新使用的数据库：</w:t>
            </w:r>
          </w:p>
          <w:p>
            <w:pPr>
              <w:spacing w:line="360" w:lineRule="auto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  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35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  <w:t>检索词及检索策略：</w:t>
            </w:r>
          </w:p>
          <w:p>
            <w:pPr>
              <w:ind w:firstLine="402" w:firstLineChars="200"/>
              <w:rPr>
                <w:rFonts w:hint="eastAsia"/>
                <w:sz w:val="24"/>
                <w:u w:val="single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  <w:u w:val="single"/>
              </w:rPr>
              <w:t>检索词：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402" w:firstLineChars="200"/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  <w:u w:val="single"/>
              </w:rPr>
              <w:t>检索式：</w:t>
            </w:r>
          </w:p>
          <w:p>
            <w:pPr>
              <w:ind w:left="420" w:leftChars="200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ind w:left="420" w:leftChars="200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ind w:left="420" w:leftChars="200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 </w:t>
            </w:r>
          </w:p>
          <w:p>
            <w:pP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五．检索结果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2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eastAsia="黑体"/>
              </w:rPr>
              <w:t>按上述检索词，在以上数据库和文献时限内，查到一些与本课题有关的文献，提供附件</w:t>
            </w:r>
            <w:r>
              <w:rPr>
                <w:rFonts w:hint="eastAsia" w:eastAsia="黑体"/>
                <w:u w:val="single"/>
              </w:rPr>
              <w:t>（    ）</w:t>
            </w:r>
            <w:r>
              <w:rPr>
                <w:rFonts w:hint="eastAsia" w:eastAsia="黑体"/>
              </w:rPr>
              <w:t>份，现对附件摘述如下：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200" w:firstLineChars="1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六．查新结论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2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eastAsia="黑体"/>
              </w:rPr>
              <w:t>经对检索出的相关文献进行分析、对比，结论如下：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七．作品参赛队员、指导教师签字的查新声明与证明</w:t>
            </w:r>
          </w:p>
          <w:p>
            <w:pPr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报告中陈述的事实是真实和准确的。</w:t>
            </w:r>
          </w:p>
          <w:p>
            <w:pPr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我们按照竞赛查新规范进行查新、文献分析和审核，并做出上述查新结论。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作品参赛队员（签字）：                      指导教师（签字）：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八．附件清单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九．备注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黑体" w:hAnsi="Courier New" w:eastAsia="黑体" w:cs="Courier New"/>
          <w:kern w:val="0"/>
          <w:sz w:val="20"/>
          <w:szCs w:val="20"/>
        </w:rPr>
      </w:pPr>
    </w:p>
    <w:p/>
    <w:p/>
    <w:p>
      <w:pPr>
        <w:pStyle w:val="24"/>
        <w:spacing w:line="300" w:lineRule="auto"/>
        <w:ind w:firstLine="480" w:firstLineChars="20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rmqian" w:date="2013-09-13T15:32:00Z" w:initials="r">
    <w:p w14:paraId="01EB26E9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 w:ascii="宋体" w:hAnsi="宋体"/>
          <w:sz w:val="32"/>
          <w:szCs w:val="32"/>
        </w:rPr>
        <w:t>作品名</w:t>
      </w:r>
      <w:r>
        <w:rPr>
          <w:rFonts w:hint="eastAsia" w:ascii="宋体" w:hAnsi="宋体"/>
          <w:sz w:val="21"/>
          <w:szCs w:val="24"/>
        </w:rPr>
        <w:t>三号黑体</w:t>
      </w:r>
      <w:r>
        <w:rPr>
          <w:rFonts w:hint="eastAsia"/>
          <w:sz w:val="21"/>
          <w:szCs w:val="24"/>
        </w:rPr>
        <w:t>居中，段前、段后各</w:t>
      </w:r>
      <w:r>
        <w:rPr>
          <w:rFonts w:hint="default"/>
          <w:sz w:val="21"/>
          <w:szCs w:val="24"/>
        </w:rPr>
        <w:t>0.5</w:t>
      </w:r>
      <w:r>
        <w:rPr>
          <w:rFonts w:hint="eastAsia"/>
          <w:sz w:val="21"/>
          <w:szCs w:val="24"/>
        </w:rPr>
        <w:t>行</w:t>
      </w:r>
    </w:p>
  </w:comment>
  <w:comment w:id="1" w:author="rmqian" w:date="2013-09-13T15:32:00Z" w:initials="r">
    <w:p w14:paraId="2EA60BB3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五号宋体居中</w:t>
      </w:r>
    </w:p>
  </w:comment>
  <w:comment w:id="2" w:author="rmqian" w:date="2013-09-13T15:32:00Z" w:initials="r">
    <w:p w14:paraId="153C12DB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中文：五号宋体居中；数字：</w:t>
      </w:r>
      <w:r>
        <w:rPr>
          <w:rFonts w:hint="default" w:eastAsia="仿宋_GB2312"/>
          <w:sz w:val="28"/>
          <w:szCs w:val="28"/>
        </w:rPr>
        <w:t>Times New Roman</w:t>
      </w:r>
    </w:p>
  </w:comment>
  <w:comment w:id="3" w:author="马玉女" w:date="2013-09-13T15:32:00Z" w:initials="_x0006_">
    <w:p w14:paraId="390C7E87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小四号黑，居中</w:t>
      </w:r>
    </w:p>
  </w:comment>
  <w:comment w:id="4" w:author="rmqian" w:date="2013-09-13T15:32:00Z" w:initials="r">
    <w:p w14:paraId="00990F3E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节标题小四号黑体加粗，标题前数字</w:t>
      </w:r>
      <w:r>
        <w:rPr>
          <w:rFonts w:hint="default"/>
          <w:sz w:val="28"/>
          <w:szCs w:val="28"/>
        </w:rPr>
        <w:t>Times New Roman</w:t>
      </w:r>
      <w:r>
        <w:rPr>
          <w:rFonts w:hint="eastAsia"/>
          <w:sz w:val="28"/>
          <w:szCs w:val="28"/>
        </w:rPr>
        <w:t>加粗，</w:t>
      </w:r>
      <w:r>
        <w:rPr>
          <w:rFonts w:hint="eastAsia"/>
          <w:sz w:val="21"/>
          <w:szCs w:val="24"/>
        </w:rPr>
        <w:t>段前、段后各0.5行</w:t>
      </w:r>
    </w:p>
  </w:comment>
  <w:comment w:id="5" w:author="rmqian" w:date="2013-09-13T15:32:00Z" w:initials="r">
    <w:p w14:paraId="305E0124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卷（期）</w:t>
      </w:r>
    </w:p>
  </w:comment>
  <w:comment w:id="6" w:author="rmqian" w:date="2013-09-13T15:32:00Z" w:initials="r">
    <w:p w14:paraId="491C440D">
      <w:pPr>
        <w:pStyle w:val="3"/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小五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1EB26E9" w15:done="0"/>
  <w15:commentEx w15:paraId="2EA60BB3" w15:done="0"/>
  <w15:commentEx w15:paraId="153C12DB" w15:done="0"/>
  <w15:commentEx w15:paraId="390C7E87" w15:done="0"/>
  <w15:commentEx w15:paraId="00990F3E" w15:done="0"/>
  <w15:commentEx w15:paraId="305E0124" w15:done="0"/>
  <w15:commentEx w15:paraId="491C440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TSong-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68627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0A"/>
    <w:multiLevelType w:val="multilevel"/>
    <w:tmpl w:val="0000000A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/>
        <w:u w:val="none" w:color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mqian">
    <w15:presenceInfo w15:providerId="None" w15:userId="rmqian"/>
  </w15:person>
  <w15:person w15:author="马玉女">
    <w15:presenceInfo w15:providerId="None" w15:userId="马玉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0Mzg0NmRkMDU0MmI2NTAzMWRkMjlhOGVlY2FiMDUifQ=="/>
  </w:docVars>
  <w:rsids>
    <w:rsidRoot w:val="00172A27"/>
    <w:rsid w:val="00011EBA"/>
    <w:rsid w:val="000406FB"/>
    <w:rsid w:val="000450A5"/>
    <w:rsid w:val="00047AE1"/>
    <w:rsid w:val="00057894"/>
    <w:rsid w:val="00062F2E"/>
    <w:rsid w:val="00073862"/>
    <w:rsid w:val="00073B7C"/>
    <w:rsid w:val="0007431C"/>
    <w:rsid w:val="0007614E"/>
    <w:rsid w:val="00082E7D"/>
    <w:rsid w:val="00095DAB"/>
    <w:rsid w:val="000A533F"/>
    <w:rsid w:val="000F680A"/>
    <w:rsid w:val="00120322"/>
    <w:rsid w:val="00124249"/>
    <w:rsid w:val="001329C0"/>
    <w:rsid w:val="0014306B"/>
    <w:rsid w:val="0014518B"/>
    <w:rsid w:val="00163D18"/>
    <w:rsid w:val="001930A8"/>
    <w:rsid w:val="0019349F"/>
    <w:rsid w:val="00194595"/>
    <w:rsid w:val="001A414E"/>
    <w:rsid w:val="001B4F16"/>
    <w:rsid w:val="001C0EEC"/>
    <w:rsid w:val="001C4293"/>
    <w:rsid w:val="001D0C25"/>
    <w:rsid w:val="001D551D"/>
    <w:rsid w:val="001E1059"/>
    <w:rsid w:val="001F3EAE"/>
    <w:rsid w:val="00200C18"/>
    <w:rsid w:val="00202B4A"/>
    <w:rsid w:val="00205123"/>
    <w:rsid w:val="002317E8"/>
    <w:rsid w:val="00235A25"/>
    <w:rsid w:val="00242606"/>
    <w:rsid w:val="0024609E"/>
    <w:rsid w:val="00247080"/>
    <w:rsid w:val="00254BB2"/>
    <w:rsid w:val="00261132"/>
    <w:rsid w:val="0026600C"/>
    <w:rsid w:val="0026618C"/>
    <w:rsid w:val="0026705D"/>
    <w:rsid w:val="00275271"/>
    <w:rsid w:val="00297F09"/>
    <w:rsid w:val="002A6230"/>
    <w:rsid w:val="002B7D1E"/>
    <w:rsid w:val="002C116B"/>
    <w:rsid w:val="002C4D35"/>
    <w:rsid w:val="002D4B97"/>
    <w:rsid w:val="003016B8"/>
    <w:rsid w:val="003041F7"/>
    <w:rsid w:val="00311745"/>
    <w:rsid w:val="0031485A"/>
    <w:rsid w:val="00321082"/>
    <w:rsid w:val="00321EDB"/>
    <w:rsid w:val="00327A10"/>
    <w:rsid w:val="00327C07"/>
    <w:rsid w:val="00331DB0"/>
    <w:rsid w:val="00356578"/>
    <w:rsid w:val="0036060E"/>
    <w:rsid w:val="00381A2E"/>
    <w:rsid w:val="003A3A5C"/>
    <w:rsid w:val="003B0EC4"/>
    <w:rsid w:val="003C4C18"/>
    <w:rsid w:val="003D709D"/>
    <w:rsid w:val="003E3994"/>
    <w:rsid w:val="003F07EC"/>
    <w:rsid w:val="0040423B"/>
    <w:rsid w:val="004168BB"/>
    <w:rsid w:val="004277EA"/>
    <w:rsid w:val="004310BA"/>
    <w:rsid w:val="0045520B"/>
    <w:rsid w:val="00461F8C"/>
    <w:rsid w:val="00462535"/>
    <w:rsid w:val="00483444"/>
    <w:rsid w:val="00493E86"/>
    <w:rsid w:val="004A5D86"/>
    <w:rsid w:val="004D1784"/>
    <w:rsid w:val="004D2CA4"/>
    <w:rsid w:val="004D3217"/>
    <w:rsid w:val="004F006D"/>
    <w:rsid w:val="00510291"/>
    <w:rsid w:val="00526286"/>
    <w:rsid w:val="00526450"/>
    <w:rsid w:val="00526F88"/>
    <w:rsid w:val="005270BE"/>
    <w:rsid w:val="005301EF"/>
    <w:rsid w:val="005318A6"/>
    <w:rsid w:val="00534530"/>
    <w:rsid w:val="00551B7B"/>
    <w:rsid w:val="0055730C"/>
    <w:rsid w:val="00561A6D"/>
    <w:rsid w:val="0056488B"/>
    <w:rsid w:val="00566F90"/>
    <w:rsid w:val="00580F70"/>
    <w:rsid w:val="005953DF"/>
    <w:rsid w:val="005C1037"/>
    <w:rsid w:val="005C3678"/>
    <w:rsid w:val="005E429D"/>
    <w:rsid w:val="005E6362"/>
    <w:rsid w:val="005F223B"/>
    <w:rsid w:val="005F46E2"/>
    <w:rsid w:val="00616626"/>
    <w:rsid w:val="00623BF4"/>
    <w:rsid w:val="00625A14"/>
    <w:rsid w:val="00630AEB"/>
    <w:rsid w:val="0066485C"/>
    <w:rsid w:val="00681AE1"/>
    <w:rsid w:val="00687649"/>
    <w:rsid w:val="00694393"/>
    <w:rsid w:val="00695626"/>
    <w:rsid w:val="006B5C1C"/>
    <w:rsid w:val="006B5E44"/>
    <w:rsid w:val="006C7C87"/>
    <w:rsid w:val="006D2CA1"/>
    <w:rsid w:val="006E3105"/>
    <w:rsid w:val="006E408B"/>
    <w:rsid w:val="006E5DE3"/>
    <w:rsid w:val="006F1974"/>
    <w:rsid w:val="00711C3B"/>
    <w:rsid w:val="00723D8A"/>
    <w:rsid w:val="00740069"/>
    <w:rsid w:val="00741F43"/>
    <w:rsid w:val="00742722"/>
    <w:rsid w:val="00747A66"/>
    <w:rsid w:val="0076647D"/>
    <w:rsid w:val="00787148"/>
    <w:rsid w:val="007B5F27"/>
    <w:rsid w:val="007C0781"/>
    <w:rsid w:val="007D484A"/>
    <w:rsid w:val="007D4868"/>
    <w:rsid w:val="007D75FB"/>
    <w:rsid w:val="007E62D6"/>
    <w:rsid w:val="00807147"/>
    <w:rsid w:val="00813DAD"/>
    <w:rsid w:val="00815BDD"/>
    <w:rsid w:val="00820C88"/>
    <w:rsid w:val="00844C9E"/>
    <w:rsid w:val="00846FEB"/>
    <w:rsid w:val="0085746F"/>
    <w:rsid w:val="008814F6"/>
    <w:rsid w:val="00882C06"/>
    <w:rsid w:val="0088434F"/>
    <w:rsid w:val="00885CE7"/>
    <w:rsid w:val="00892771"/>
    <w:rsid w:val="008A05EC"/>
    <w:rsid w:val="008A3761"/>
    <w:rsid w:val="008B4E69"/>
    <w:rsid w:val="008B514D"/>
    <w:rsid w:val="008D3F53"/>
    <w:rsid w:val="008D5400"/>
    <w:rsid w:val="008E0271"/>
    <w:rsid w:val="008E069F"/>
    <w:rsid w:val="009065CC"/>
    <w:rsid w:val="00906C0D"/>
    <w:rsid w:val="0090784B"/>
    <w:rsid w:val="00920F1A"/>
    <w:rsid w:val="009379BC"/>
    <w:rsid w:val="00946869"/>
    <w:rsid w:val="00951B06"/>
    <w:rsid w:val="00956BBB"/>
    <w:rsid w:val="00972165"/>
    <w:rsid w:val="009867BC"/>
    <w:rsid w:val="00991841"/>
    <w:rsid w:val="009959C7"/>
    <w:rsid w:val="009A1B4A"/>
    <w:rsid w:val="009A611A"/>
    <w:rsid w:val="009B081C"/>
    <w:rsid w:val="009D3EE9"/>
    <w:rsid w:val="009D67D7"/>
    <w:rsid w:val="009F5A6B"/>
    <w:rsid w:val="009F5E4D"/>
    <w:rsid w:val="00A00EA8"/>
    <w:rsid w:val="00A1143E"/>
    <w:rsid w:val="00A405BF"/>
    <w:rsid w:val="00A43E89"/>
    <w:rsid w:val="00A46366"/>
    <w:rsid w:val="00A7103C"/>
    <w:rsid w:val="00A748C7"/>
    <w:rsid w:val="00A80C10"/>
    <w:rsid w:val="00A82229"/>
    <w:rsid w:val="00A92213"/>
    <w:rsid w:val="00AA03A5"/>
    <w:rsid w:val="00AB06C0"/>
    <w:rsid w:val="00AB7FA0"/>
    <w:rsid w:val="00AD6DD0"/>
    <w:rsid w:val="00AE0CC7"/>
    <w:rsid w:val="00B04B60"/>
    <w:rsid w:val="00B3070B"/>
    <w:rsid w:val="00B31B3B"/>
    <w:rsid w:val="00B31F40"/>
    <w:rsid w:val="00B33FD1"/>
    <w:rsid w:val="00B407B6"/>
    <w:rsid w:val="00B413E8"/>
    <w:rsid w:val="00B54BF6"/>
    <w:rsid w:val="00B56615"/>
    <w:rsid w:val="00B7153B"/>
    <w:rsid w:val="00B73892"/>
    <w:rsid w:val="00B73F84"/>
    <w:rsid w:val="00B87382"/>
    <w:rsid w:val="00BB73EB"/>
    <w:rsid w:val="00BC0005"/>
    <w:rsid w:val="00BC054A"/>
    <w:rsid w:val="00BD07BC"/>
    <w:rsid w:val="00BE17D0"/>
    <w:rsid w:val="00BE4443"/>
    <w:rsid w:val="00BE4592"/>
    <w:rsid w:val="00C12B44"/>
    <w:rsid w:val="00C13A81"/>
    <w:rsid w:val="00C25B7D"/>
    <w:rsid w:val="00C302A3"/>
    <w:rsid w:val="00C30E68"/>
    <w:rsid w:val="00C42416"/>
    <w:rsid w:val="00C6387D"/>
    <w:rsid w:val="00C66D2E"/>
    <w:rsid w:val="00C83BEE"/>
    <w:rsid w:val="00C96FD1"/>
    <w:rsid w:val="00CA2BEB"/>
    <w:rsid w:val="00CB7C3A"/>
    <w:rsid w:val="00CD40D1"/>
    <w:rsid w:val="00CD7932"/>
    <w:rsid w:val="00CF047A"/>
    <w:rsid w:val="00D051E3"/>
    <w:rsid w:val="00D070FF"/>
    <w:rsid w:val="00D11673"/>
    <w:rsid w:val="00D26787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B0DCD"/>
    <w:rsid w:val="00DC0E67"/>
    <w:rsid w:val="00DC72EC"/>
    <w:rsid w:val="00DF4282"/>
    <w:rsid w:val="00E03459"/>
    <w:rsid w:val="00E04180"/>
    <w:rsid w:val="00E21191"/>
    <w:rsid w:val="00E21812"/>
    <w:rsid w:val="00E31D4A"/>
    <w:rsid w:val="00E36B3E"/>
    <w:rsid w:val="00E443C3"/>
    <w:rsid w:val="00E51C5B"/>
    <w:rsid w:val="00E6024E"/>
    <w:rsid w:val="00E71B6B"/>
    <w:rsid w:val="00E75CA0"/>
    <w:rsid w:val="00E83075"/>
    <w:rsid w:val="00E861F6"/>
    <w:rsid w:val="00E939F5"/>
    <w:rsid w:val="00EA4C66"/>
    <w:rsid w:val="00EB0730"/>
    <w:rsid w:val="00EB3486"/>
    <w:rsid w:val="00EB5675"/>
    <w:rsid w:val="00EC281F"/>
    <w:rsid w:val="00ED255F"/>
    <w:rsid w:val="00ED2D9C"/>
    <w:rsid w:val="00ED68AE"/>
    <w:rsid w:val="00EE0D01"/>
    <w:rsid w:val="00EF105A"/>
    <w:rsid w:val="00EF276C"/>
    <w:rsid w:val="00EF7206"/>
    <w:rsid w:val="00F04F0B"/>
    <w:rsid w:val="00F13F98"/>
    <w:rsid w:val="00F16F97"/>
    <w:rsid w:val="00F25CE1"/>
    <w:rsid w:val="00F5180F"/>
    <w:rsid w:val="00F5545A"/>
    <w:rsid w:val="00F554E0"/>
    <w:rsid w:val="00F64E7E"/>
    <w:rsid w:val="00F6717B"/>
    <w:rsid w:val="00F71AB6"/>
    <w:rsid w:val="00FA6218"/>
    <w:rsid w:val="00FC10A8"/>
    <w:rsid w:val="00FC79DB"/>
    <w:rsid w:val="00FD1D2D"/>
    <w:rsid w:val="00FE7329"/>
    <w:rsid w:val="00FF060C"/>
    <w:rsid w:val="00FF7CCB"/>
    <w:rsid w:val="0AB95D95"/>
    <w:rsid w:val="113D715D"/>
    <w:rsid w:val="14DC4C37"/>
    <w:rsid w:val="17C90B3C"/>
    <w:rsid w:val="1CD26398"/>
    <w:rsid w:val="326643BE"/>
    <w:rsid w:val="3A556CC6"/>
    <w:rsid w:val="3B1D2560"/>
    <w:rsid w:val="3F2F511E"/>
    <w:rsid w:val="41C0716B"/>
    <w:rsid w:val="482E0607"/>
    <w:rsid w:val="552865CC"/>
    <w:rsid w:val="55B12473"/>
    <w:rsid w:val="64654663"/>
    <w:rsid w:val="65A43111"/>
    <w:rsid w:val="67DA1624"/>
    <w:rsid w:val="6D101F1A"/>
    <w:rsid w:val="6D945243"/>
    <w:rsid w:val="79B35421"/>
    <w:rsid w:val="7A7E03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annotation text"/>
    <w:basedOn w:val="1"/>
    <w:link w:val="21"/>
    <w:unhideWhenUsed/>
    <w:qFormat/>
    <w:uiPriority w:val="99"/>
    <w:pPr>
      <w:jc w:val="left"/>
    </w:pPr>
  </w:style>
  <w:style w:type="paragraph" w:styleId="4">
    <w:name w:val="Balloon Text"/>
    <w:basedOn w:val="1"/>
    <w:link w:val="17"/>
    <w:unhideWhenUsed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2"/>
    <w:unhideWhenUsed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character" w:styleId="14">
    <w:name w:val="FollowedHyperlink"/>
    <w:basedOn w:val="11"/>
    <w:semiHidden/>
    <w:unhideWhenUsed/>
    <w:uiPriority w:val="99"/>
    <w:rPr>
      <w:color w:val="800080" w:themeColor="followedHyperlink"/>
      <w:u w:val="single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16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7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8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20">
    <w:name w:val="文档结构图 字符"/>
    <w:basedOn w:val="11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8"/>
    <w:semiHidden/>
    <w:qFormat/>
    <w:uiPriority w:val="99"/>
    <w:rPr>
      <w:b/>
      <w:bCs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1EC9F-EC73-4192-B764-8E8A535C93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2976</Words>
  <Characters>3237</Characters>
  <Lines>7</Lines>
  <Paragraphs>2</Paragraphs>
  <TotalTime>1</TotalTime>
  <ScaleCrop>false</ScaleCrop>
  <LinksUpToDate>false</LinksUpToDate>
  <CharactersWithSpaces>3434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2017-12-26T01:29:00Z</dcterms:created>
  <dc:creator>XL</dc:creator>
  <cp:lastModifiedBy>沐浴阳光1407123512</cp:lastModifiedBy>
  <cp:lastPrinted>2017-12-29T06:15:00Z</cp:lastPrinted>
  <dcterms:modified xsi:type="dcterms:W3CDTF">2023-03-14T05:23:27Z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7F6A695E484D4E07A5CD5792826BD7E3</vt:lpwstr>
  </property>
</Properties>
</file>