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before="78" w:line="184" w:lineRule="auto"/>
        <w:ind w:firstLine="42"/>
        <w:textAlignment w:val="baseline"/>
        <w:rPr>
          <w:rFonts w:ascii="宋体" w:hAnsi="宋体" w:eastAsia="宋体" w:cs="宋体"/>
          <w:snapToGrid w:val="0"/>
          <w:spacing w:val="-10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spacing w:val="-10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附件2：</w:t>
      </w:r>
    </w:p>
    <w:p>
      <w:pPr>
        <w:kinsoku w:val="0"/>
        <w:autoSpaceDE w:val="0"/>
        <w:autoSpaceDN w:val="0"/>
        <w:adjustRightInd w:val="0"/>
        <w:snapToGrid w:val="0"/>
        <w:spacing w:before="97" w:line="500" w:lineRule="exact"/>
        <w:ind w:firstLine="582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snapToGrid w:val="0"/>
          <w:spacing w:val="-1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sz w:val="30"/>
          <w:szCs w:val="30"/>
          <w:lang w:val="en-US"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杭州师范大学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大学生公共管理案例大赛书面文本评分细则</w:t>
      </w:r>
    </w:p>
    <w:p>
      <w:pPr>
        <w:spacing w:before="100" w:after="100" w:line="400" w:lineRule="exact"/>
        <w:jc w:val="center"/>
        <w:rPr>
          <w:rFonts w:ascii="宋体" w:hAnsi="宋体" w:eastAsia="宋体" w:cs="宋体"/>
          <w:snapToGrid w:val="0"/>
          <w:spacing w:val="-17"/>
          <w:position w:val="1"/>
        </w:rPr>
      </w:pPr>
      <w:r>
        <w:rPr>
          <w:rFonts w:hint="eastAsia" w:ascii="宋体" w:hAnsi="宋体" w:eastAsia="宋体" w:cs="宋体"/>
          <w:snapToGrid w:val="0"/>
          <w:spacing w:val="-17"/>
          <w:position w:val="1"/>
        </w:rPr>
        <w:t>（满分100分，权重：40%）</w:t>
      </w:r>
    </w:p>
    <w:p>
      <w:pPr>
        <w:snapToGrid w:val="0"/>
        <w:spacing w:line="400" w:lineRule="exact"/>
        <w:ind w:firstLine="471"/>
        <w:jc w:val="center"/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W w:w="861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34"/>
        <w:gridCol w:w="3679"/>
        <w:gridCol w:w="98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评分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评价点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评分标准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满分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案例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正文（60）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案例选题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选题紧密联系我国公共管理实践中的重大问题，具有典型性，意义重大，材料以作者实地调研获得的一手资料为主。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案例内容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谋篇布局合理；起承转合分明；内容丰富，事件发展和冲突表述清晰。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文本质量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文本规范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szCs w:val="21"/>
              </w:rPr>
              <w:t>，语言生动，条理清晰，可读性强，摘要精炼，结语富有启发性，能引发深刻思考。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案例分析报告（40）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理论应用、分析水平、对策可行性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使用的相关公共管理理论和工具准确、合理；具有恰当的分析框架，逻辑性强；分析深刻且准确；建议具有针对性、可行性和创新性。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</w:tbl>
    <w:p>
      <w:pPr>
        <w:spacing w:before="100" w:after="100" w:line="52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snapToGrid w:val="0"/>
        <w:spacing w:line="520" w:lineRule="exact"/>
        <w:ind w:left="750" w:hanging="750"/>
        <w:jc w:val="center"/>
        <w:rPr>
          <w:rFonts w:ascii="宋体" w:hAnsi="宋体" w:eastAsia="宋体" w:cs="宋体"/>
          <w:sz w:val="36"/>
          <w:szCs w:val="36"/>
          <w:lang w:bidi="zh-TW"/>
        </w:rPr>
      </w:pPr>
    </w:p>
    <w:p>
      <w:pPr>
        <w:snapToGrid w:val="0"/>
        <w:spacing w:line="520" w:lineRule="exact"/>
        <w:ind w:left="750" w:hanging="750"/>
        <w:jc w:val="center"/>
        <w:rPr>
          <w:rFonts w:ascii="宋体" w:hAnsi="宋体" w:eastAsia="宋体" w:cs="宋体"/>
          <w:sz w:val="36"/>
          <w:szCs w:val="36"/>
          <w:lang w:bidi="zh-TW"/>
        </w:rPr>
      </w:pPr>
    </w:p>
    <w:p>
      <w:pPr>
        <w:pStyle w:val="2"/>
        <w:rPr>
          <w:lang w:bidi="zh-TW"/>
        </w:rPr>
      </w:pPr>
    </w:p>
    <w:p>
      <w:pPr>
        <w:rPr>
          <w:lang w:bidi="zh-TW"/>
        </w:rPr>
      </w:pPr>
    </w:p>
    <w:p>
      <w:pPr>
        <w:pStyle w:val="2"/>
        <w:rPr>
          <w:lang w:bidi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zZjY2RmYjg3YmViNTVkZDYwMjFkNGNlNzYxNGQifQ=="/>
  </w:docVars>
  <w:rsids>
    <w:rsidRoot w:val="005E2A72"/>
    <w:rsid w:val="005E2A72"/>
    <w:rsid w:val="00777D33"/>
    <w:rsid w:val="00DC404E"/>
    <w:rsid w:val="1D0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jc w:val="both"/>
    </w:pPr>
    <w:rPr>
      <w:rFonts w:ascii="Arial" w:hAnsi="Arial" w:eastAsia="黑体" w:cs="Arial"/>
      <w:kern w:val="2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291</Characters>
  <Lines>2</Lines>
  <Paragraphs>1</Paragraphs>
  <TotalTime>2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2023-06-08T07:05:00Z</dcterms:created>
  <dc:creator>82641</dc:creator>
  <cp:lastModifiedBy>grace</cp:lastModifiedBy>
  <dcterms:modified xsi:type="dcterms:W3CDTF">2023-06-09T05:31:07Z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DE786C7E6F9A49FCB3442F5D6DED550C_12</vt:lpwstr>
  </property>
</Properties>
</file>