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 xml:space="preserve">附件2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A类和B类作品文本评分标准表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drawing>
          <wp:inline distT="0" distB="0" distL="0" distR="0">
            <wp:extent cx="5274310" cy="2847975"/>
            <wp:effectExtent l="0" t="0" r="2540" b="9525"/>
            <wp:docPr id="1" name="图片 1" descr="D:\DingTalkAppData\DingTalk\549140023_v2\ImageFiles\1687017655016_1121D440-75CF-45d3-B5FF-712D8F78AC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ingTalkAppData\DingTalk\549140023_v2\ImageFiles\1687017655016_1121D440-75CF-45d3-B5FF-712D8F78AC4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Tg0N2NkZWJhNTIxMzhlOGQwMjI3N2ExZjE1ODcifQ=="/>
  </w:docVars>
  <w:rsids>
    <w:rsidRoot w:val="3D462664"/>
    <w:rsid w:val="3D4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2025-06-19T00:45:00Z</dcterms:created>
  <dc:creator>汪凯达</dc:creator>
  <cp:lastModifiedBy>汪凯达</cp:lastModifiedBy>
  <dcterms:modified xsi:type="dcterms:W3CDTF">2025-06-19T00:45:53Z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51950357ED5847E58E3D7865821017A1</vt:lpwstr>
  </property>
</Properties>
</file>