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300" w:lineRule="auto"/>
        <w:jc w:val="left"/>
        <w:textAlignment w:val="auto"/>
        <w:rPr>
          <w:rFonts w:ascii="仿宋_GB2312" w:eastAsia="仿宋_GB2312"/>
          <w:sz w:val="30"/>
          <w:szCs w:val="30"/>
        </w:rPr>
      </w:pPr>
      <w:r>
        <w:rPr>
          <w:rFonts w:hint="eastAsia" w:ascii="黑体" w:hAnsi="黑体" w:eastAsia="黑体" w:cs="黑体"/>
          <w:sz w:val="30"/>
          <w:szCs w:val="30"/>
        </w:rPr>
        <w:t>附件</w:t>
      </w:r>
      <w:r>
        <w:rPr>
          <w:rFonts w:hint="eastAsia" w:ascii="黑体" w:hAnsi="黑体" w:eastAsia="黑体" w:cs="黑体"/>
          <w:sz w:val="30"/>
          <w:szCs w:val="30"/>
          <w:lang w:val="en-US" w:eastAsia="zh-CN"/>
        </w:rPr>
        <w:t>1</w:t>
      </w:r>
      <w:r>
        <w:rPr>
          <w:rFonts w:hint="eastAsia" w:ascii="黑体" w:hAnsi="黑体" w:eastAsia="黑体" w:cs="黑体"/>
          <w:sz w:val="30"/>
          <w:szCs w:val="30"/>
        </w:rPr>
        <w:t>：</w:t>
      </w:r>
    </w:p>
    <w:p>
      <w:pPr>
        <w:keepNext w:val="0"/>
        <w:keepLines w:val="0"/>
        <w:pageBreakBefore w:val="0"/>
        <w:widowControl w:val="0"/>
        <w:kinsoku/>
        <w:wordWrap/>
        <w:overflowPunct/>
        <w:topLinePunct w:val="0"/>
        <w:bidi w:val="0"/>
        <w:adjustRightInd w:val="0"/>
        <w:snapToGrid w:val="0"/>
        <w:spacing w:line="300" w:lineRule="auto"/>
        <w:jc w:val="center"/>
        <w:textAlignment w:val="auto"/>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b/>
          <w:sz w:val="30"/>
          <w:szCs w:val="30"/>
        </w:rPr>
        <w:t>第二十</w:t>
      </w:r>
      <w:r>
        <w:rPr>
          <w:rFonts w:hint="eastAsia" w:ascii="方正小标宋简体" w:hAnsi="方正小标宋简体" w:eastAsia="方正小标宋简体" w:cs="方正小标宋简体"/>
          <w:b/>
          <w:sz w:val="30"/>
          <w:szCs w:val="30"/>
          <w:lang w:val="en-US" w:eastAsia="zh-CN"/>
        </w:rPr>
        <w:t>三</w:t>
      </w:r>
      <w:r>
        <w:rPr>
          <w:rFonts w:hint="eastAsia" w:ascii="方正小标宋简体" w:hAnsi="方正小标宋简体" w:eastAsia="方正小标宋简体" w:cs="方正小标宋简体"/>
          <w:b/>
          <w:sz w:val="30"/>
          <w:szCs w:val="30"/>
        </w:rPr>
        <w:t>届浙江省大学生机械设计竞赛规则和参赛指南</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第二十</w:t>
      </w:r>
      <w:r>
        <w:rPr>
          <w:rFonts w:hint="eastAsia" w:ascii="仿宋_GB2312" w:hAnsi="宋体" w:eastAsia="仿宋_GB2312"/>
          <w:sz w:val="24"/>
          <w:lang w:val="en-US" w:eastAsia="zh-CN"/>
        </w:rPr>
        <w:t>三</w:t>
      </w:r>
      <w:r>
        <w:rPr>
          <w:rFonts w:hint="eastAsia" w:ascii="仿宋_GB2312" w:hAnsi="宋体" w:eastAsia="仿宋_GB2312"/>
          <w:sz w:val="24"/>
        </w:rPr>
        <w:t>届浙江省大学生机械设计竞赛主题为“灵巧·智能，美好生活”。内容为：“设计与制作：1）特定水产品初加工机械；2）叶菜洁净化处理包装一体化机械；3）高性能仿生蝴蝶”。</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本届</w:t>
      </w:r>
      <w:r>
        <w:rPr>
          <w:rFonts w:hint="eastAsia" w:ascii="仿宋_GB2312" w:hAnsi="宋体" w:eastAsia="仿宋_GB2312"/>
          <w:sz w:val="24"/>
          <w:lang w:val="en-US" w:eastAsia="zh-CN"/>
        </w:rPr>
        <w:t>竞</w:t>
      </w:r>
      <w:r>
        <w:rPr>
          <w:rFonts w:hint="eastAsia" w:ascii="仿宋_GB2312" w:hAnsi="宋体" w:eastAsia="仿宋_GB2312"/>
          <w:sz w:val="24"/>
        </w:rPr>
        <w:t>赛设计内容 1）中的特定水产品限定在水产品中的鱼类、甲壳类和贝类这三类，不包括藻类、</w:t>
      </w:r>
      <w:bookmarkStart w:id="0" w:name="_GoBack"/>
      <w:bookmarkEnd w:id="0"/>
      <w:r>
        <w:rPr>
          <w:rFonts w:hint="eastAsia" w:ascii="仿宋_GB2312" w:hAnsi="宋体" w:eastAsia="仿宋_GB2312"/>
          <w:sz w:val="24"/>
        </w:rPr>
        <w:t>软体动物和其他水生动物；初加工是指对限定水产品完成批量化去鳞、去内脏和去壳等加工工序，方便后续运输、晾晒处理以形成初级商品。选题示例如：鲜虾剥虾仁机械、马面鱼剥皮处理机、海虹去壳机等等，但不包括烹饪机械。</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设计内容 2）主要设计用于批量生产供应给城乡超市中叶菜净化处理和包装一体化机械；叶菜通常指青菜、菠菜、韭菜、（小）白菜、空心菜、茼蒿、大葱等，但不包括根茎花类菜如洋葱、土豆、莲藕、萝卜、蒜苔、韭苔、菜花、韭菜花等。洁净化处理包括对叶菜去根、去黄叶、去泥土和归一化加工等工序；对处理后的叶菜要按一定重量进行包装，方便后续出售。这两类机械主要用于对水产品和叶菜的批量加工、处理场合，而非家庭厨房场合。大赛组委会提倡学生们亲自去学校当地水产品生产加工基地、蔬菜种植基地或自己的家乡进行调研，获取设计灵感，完成样机设计，实现特定水产品和叶菜批量加工、处理功能，并期望能进一步推广应用。</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本届常规赛设计内容 3）中的仿生蝴蝶作品须有明确的蝴蝶外形，即仿生蝴蝶有类似真蝴蝶的身体部分（包括头、眼、触须，胸、腹）、4 个连接在胸部且独立的翅膀和6 只足等。仿生蝴蝶的设计须同时满足下列 5 点要求：（1）起飞前在起飞台上要能模仿蝴蝶实现四翅并拢竖立动作，随后实现左右翅膀同时下摆动作，左右翅膀上下摆角度 ≥90°；（2）实现仿生蝴蝶的飞行能力包括静态起飞、沿跑道飞行和调头飞行能力；（3）无论在静态或飞行中，仿生蝴蝶任意方向的尺寸均不超过 0.4m；（4）使用电池作为原始能源，电池电压不超过 24V；（5）作品总质量不超过 2kg。仿生蝴蝶的现场比赛考察其飞行能力和飞行中调头能力，比赛时间 2 分钟。飞行比赛得分 = 飞行距离（单位：m）×1 分/m + 调头次数×2 分/次，总成绩为：飞行比赛得分（占 60%）+ 仿生设计评审分（占 40%）。</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有关仿生蝴蝶比赛的赛前检查、比赛场地和裁判规则细则，见《第十二届全国大学生机械创新设计大赛高性能仿生蝴蝶比赛手册》。</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设计时应注重综合运用所学“机械原理”、“机械设计”等课程的设计理论与方法；注重作品原理、功能和结构上的创新性和对作品尺寸参数、运动性能、强度刚度等结构性能的精准设计与分析；对实现批量化加工的机械，要依据加工节拍、单位时间加工量和功能等指标完成作品的设计。</w:t>
      </w:r>
    </w:p>
    <w:p>
      <w:pPr>
        <w:keepNext w:val="0"/>
        <w:keepLines w:val="0"/>
        <w:pageBreakBefore w:val="0"/>
        <w:widowControl w:val="0"/>
        <w:tabs>
          <w:tab w:val="left" w:pos="900"/>
        </w:tabs>
        <w:kinsoku/>
        <w:wordWrap/>
        <w:overflowPunct/>
        <w:topLinePunct w:val="0"/>
        <w:bidi w:val="0"/>
        <w:adjustRightInd w:val="0"/>
        <w:snapToGrid w:val="0"/>
        <w:spacing w:line="300" w:lineRule="auto"/>
        <w:ind w:firstLine="480" w:firstLineChars="200"/>
        <w:textAlignment w:val="auto"/>
        <w:rPr>
          <w:rFonts w:hint="eastAsia" w:ascii="仿宋_GB2312" w:hAnsi="宋体" w:eastAsia="仿宋_GB2312"/>
          <w:sz w:val="24"/>
        </w:rPr>
      </w:pPr>
      <w:r>
        <w:rPr>
          <w:rFonts w:hint="eastAsia" w:ascii="仿宋_GB2312" w:hAnsi="宋体" w:eastAsia="仿宋_GB2312"/>
          <w:sz w:val="24"/>
        </w:rPr>
        <w:t>当今世界正进入新工业革命的时代，数字经济、数字社会已经成为国家战略发展方向和行动纲领，正在全国范围内全面落实。因此大赛参赛作品在以机械设计为主的前提下，提倡采用智能技术、数字技术和 5G 通信技术等。对大赛内容 1）和 2）机械作品的评价不以机械结构为单一标准，而是对作品的功能、设计、结构、工艺制作、性能价格比、先进性、创新性、实用性等多方面进行综合评价。在实现功能相同的条件下，将“灵巧”与“智能”结合，机械结构越简单越好。</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所有参赛作品必须严格遵循本届大赛的主题和要求，与主题或内容不符的作品将不予接受，同时往届作品也不得参赛。所有作品必须为浙江省在校大学生的原创作品，要求自行完成查新报告并提交组委会（不建议委托第三方查新），不得侵犯他人的知识产权，同一学校参赛作品的主要原理方案和主要结构不得雷同。</w:t>
      </w:r>
      <w:r>
        <w:rPr>
          <w:rFonts w:hint="eastAsia" w:ascii="仿宋_GB2312" w:hAnsi="宋体" w:eastAsia="仿宋_GB2312"/>
          <w:b/>
          <w:bCs/>
          <w:sz w:val="24"/>
        </w:rPr>
        <w:t>禁止用社会上现有产品或整套产品部件自己组装出作品参赛。</w:t>
      </w:r>
      <w:r>
        <w:rPr>
          <w:rFonts w:hint="eastAsia" w:ascii="仿宋_GB2312" w:hAnsi="宋体" w:eastAsia="仿宋_GB2312"/>
          <w:sz w:val="24"/>
        </w:rPr>
        <w:t>对于有剽窃、抄袭的作品，浙江省大学生机械设计竞赛组委会有权取消其参赛资格。</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鼓励参赛者在设计作品时融入智能技术、数字技术以及5G+技术等前沿科技，以实现作品在环保节能、智能化与自动化、多功能性、安全性、人性化、舒适性以及可持续发展等方面的卓越表现。</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一、竞赛方式</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第二十</w:t>
      </w:r>
      <w:r>
        <w:rPr>
          <w:rFonts w:hint="eastAsia" w:ascii="仿宋_GB2312" w:hAnsi="宋体" w:eastAsia="仿宋_GB2312"/>
          <w:sz w:val="24"/>
          <w:lang w:val="en-US" w:eastAsia="zh-CN"/>
        </w:rPr>
        <w:t>三</w:t>
      </w:r>
      <w:r>
        <w:rPr>
          <w:rFonts w:hint="eastAsia" w:ascii="仿宋_GB2312" w:hAnsi="宋体" w:eastAsia="仿宋_GB2312"/>
          <w:sz w:val="24"/>
        </w:rPr>
        <w:t>届浙江省大学生机械设计竞赛方式采用“主题竞赛”形式。</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主题竞赛形式为学生自竞赛通知开始后，由参赛学生在教师的指导下，按主题要求，自行提出设计命题并完成设计任务：</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（1）完整的设计说明书（包括纸质和电子文档）；</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2）参赛队需提交“完整的设计说明书并附主要设计图纸（包括纸质、电子文档）”。其中主要设计图纸包括（A0或A1）总装配图、部件装配图和若干重要零件图。设计图纸务必达到正确、规范的要求。所有相关于机械设计、机械制图的国家标准均为图纸质量评价的要素。</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（3）制作三维视频模拟文件，模拟机械的运动过程；</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（4）按选题需要对机械进行运动分析和动力分析；</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（5）制作实际实物样机或模型、KT板；</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（6）参加决赛的学生要作好评审答辩的准备，评审专家将根据竞赛的题目和内容对学生进行提问。</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二、参赛材料</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参赛学生自接到竞赛通知后，即可按竞赛内容的要求进行准备，最终完成作品的设计与制作，并向竞赛组委会提交：</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（1）作品报名表（见附件）；</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（2）完整的设计说明书（包括纸质文档和电子文档）；</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（3）浙江省大学生机械设计竞赛作品查新报告；</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（3）作品完整装配图和主要零件图；</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（4）作品的实物样机或模型；</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（5）介绍作品的视频录像（3分钟之内，限mpg、rmvb等常用格式），视频内不含任何学校、个人信息。</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三、作品评价</w:t>
      </w:r>
    </w:p>
    <w:p>
      <w:pPr>
        <w:keepNext w:val="0"/>
        <w:keepLines w:val="0"/>
        <w:pageBreakBefore w:val="0"/>
        <w:widowControl w:val="0"/>
        <w:kinsoku/>
        <w:wordWrap/>
        <w:overflowPunct/>
        <w:topLinePunct w:val="0"/>
        <w:bidi w:val="0"/>
        <w:adjustRightInd w:val="0"/>
        <w:snapToGrid w:val="0"/>
        <w:spacing w:line="300" w:lineRule="auto"/>
        <w:textAlignment w:val="auto"/>
        <w:rPr>
          <w:rFonts w:ascii="仿宋_GB2312" w:hAnsi="宋体" w:eastAsia="仿宋_GB2312"/>
          <w:sz w:val="24"/>
        </w:rPr>
      </w:pPr>
      <w:r>
        <w:rPr>
          <w:rFonts w:hint="eastAsia" w:ascii="仿宋_GB2312" w:hAnsi="宋体" w:eastAsia="仿宋_GB2312"/>
          <w:sz w:val="24"/>
        </w:rPr>
        <w:t xml:space="preserve">    作品的评选采用综合评价，一般从以下几个方面进行评价：</w:t>
      </w:r>
    </w:p>
    <w:p>
      <w:pPr>
        <w:pStyle w:val="2"/>
        <w:keepNext w:val="0"/>
        <w:keepLines w:val="0"/>
        <w:pageBreakBefore w:val="0"/>
        <w:widowControl w:val="0"/>
        <w:kinsoku/>
        <w:wordWrap/>
        <w:overflowPunct/>
        <w:topLinePunct w:val="0"/>
        <w:bidi w:val="0"/>
        <w:adjustRightInd w:val="0"/>
        <w:snapToGrid w:val="0"/>
        <w:spacing w:line="300" w:lineRule="auto"/>
        <w:ind w:left="540" w:firstLine="0" w:firstLineChars="0"/>
        <w:jc w:val="left"/>
        <w:textAlignment w:val="auto"/>
        <w:rPr>
          <w:rFonts w:ascii="仿宋_GB2312" w:hAnsi="宋体" w:eastAsia="仿宋_GB2312"/>
          <w:sz w:val="24"/>
          <w:szCs w:val="24"/>
        </w:rPr>
      </w:pPr>
      <w:r>
        <w:rPr>
          <w:rFonts w:hint="eastAsia" w:ascii="仿宋_GB2312" w:hAnsi="宋体" w:eastAsia="仿宋_GB2312"/>
          <w:sz w:val="24"/>
          <w:szCs w:val="24"/>
        </w:rPr>
        <w:t>1.选题评价</w:t>
      </w:r>
    </w:p>
    <w:p>
      <w:pPr>
        <w:pStyle w:val="2"/>
        <w:keepNext w:val="0"/>
        <w:keepLines w:val="0"/>
        <w:pageBreakBefore w:val="0"/>
        <w:widowControl w:val="0"/>
        <w:kinsoku/>
        <w:wordWrap/>
        <w:overflowPunct/>
        <w:topLinePunct w:val="0"/>
        <w:bidi w:val="0"/>
        <w:adjustRightInd w:val="0"/>
        <w:snapToGrid w:val="0"/>
        <w:spacing w:line="300" w:lineRule="auto"/>
        <w:ind w:left="540" w:leftChars="257" w:firstLine="480" w:firstLineChars="200"/>
        <w:jc w:val="left"/>
        <w:textAlignment w:val="auto"/>
        <w:rPr>
          <w:rFonts w:ascii="仿宋_GB2312" w:hAnsi="宋体" w:eastAsia="仿宋_GB2312"/>
          <w:sz w:val="24"/>
          <w:szCs w:val="24"/>
        </w:rPr>
      </w:pPr>
      <w:r>
        <w:rPr>
          <w:rFonts w:hint="eastAsia" w:ascii="仿宋_GB2312" w:hAnsi="宋体" w:eastAsia="仿宋_GB2312"/>
          <w:sz w:val="24"/>
          <w:szCs w:val="24"/>
        </w:rPr>
        <w:t>（1）新颖性     （2）实用性      （3）意义或前景</w:t>
      </w:r>
    </w:p>
    <w:p>
      <w:pPr>
        <w:pStyle w:val="2"/>
        <w:keepNext w:val="0"/>
        <w:keepLines w:val="0"/>
        <w:pageBreakBefore w:val="0"/>
        <w:widowControl w:val="0"/>
        <w:kinsoku/>
        <w:wordWrap/>
        <w:overflowPunct/>
        <w:topLinePunct w:val="0"/>
        <w:bidi w:val="0"/>
        <w:adjustRightInd w:val="0"/>
        <w:snapToGrid w:val="0"/>
        <w:spacing w:line="300" w:lineRule="auto"/>
        <w:ind w:left="540" w:firstLine="0" w:firstLineChars="0"/>
        <w:jc w:val="left"/>
        <w:textAlignment w:val="auto"/>
        <w:rPr>
          <w:rFonts w:ascii="仿宋_GB2312" w:hAnsi="宋体" w:eastAsia="仿宋_GB2312"/>
          <w:sz w:val="24"/>
          <w:szCs w:val="24"/>
        </w:rPr>
      </w:pPr>
      <w:r>
        <w:rPr>
          <w:rFonts w:hint="eastAsia" w:ascii="仿宋_GB2312" w:hAnsi="宋体" w:eastAsia="仿宋_GB2312"/>
          <w:sz w:val="24"/>
          <w:szCs w:val="24"/>
        </w:rPr>
        <w:t>2.设计评价</w:t>
      </w:r>
    </w:p>
    <w:p>
      <w:pPr>
        <w:pStyle w:val="2"/>
        <w:keepNext w:val="0"/>
        <w:keepLines w:val="0"/>
        <w:pageBreakBefore w:val="0"/>
        <w:widowControl w:val="0"/>
        <w:kinsoku/>
        <w:wordWrap/>
        <w:overflowPunct/>
        <w:topLinePunct w:val="0"/>
        <w:bidi w:val="0"/>
        <w:adjustRightInd w:val="0"/>
        <w:snapToGrid w:val="0"/>
        <w:spacing w:line="300" w:lineRule="auto"/>
        <w:ind w:left="1228" w:leftChars="503" w:hanging="172" w:hangingChars="72"/>
        <w:jc w:val="left"/>
        <w:textAlignment w:val="auto"/>
        <w:rPr>
          <w:rFonts w:ascii="仿宋_GB2312" w:hAnsi="宋体" w:eastAsia="仿宋_GB2312"/>
          <w:sz w:val="24"/>
          <w:szCs w:val="24"/>
        </w:rPr>
      </w:pPr>
      <w:r>
        <w:rPr>
          <w:rFonts w:hint="eastAsia" w:ascii="仿宋_GB2312" w:hAnsi="宋体" w:eastAsia="仿宋_GB2312"/>
          <w:sz w:val="24"/>
          <w:szCs w:val="24"/>
        </w:rPr>
        <w:t>（1）创新性     （2）结构合理性   （3）工艺性</w:t>
      </w:r>
    </w:p>
    <w:p>
      <w:pPr>
        <w:pStyle w:val="2"/>
        <w:keepNext w:val="0"/>
        <w:keepLines w:val="0"/>
        <w:pageBreakBefore w:val="0"/>
        <w:widowControl w:val="0"/>
        <w:kinsoku/>
        <w:wordWrap/>
        <w:overflowPunct/>
        <w:topLinePunct w:val="0"/>
        <w:bidi w:val="0"/>
        <w:adjustRightInd w:val="0"/>
        <w:snapToGrid w:val="0"/>
        <w:spacing w:line="300" w:lineRule="auto"/>
        <w:ind w:left="1228" w:leftChars="503" w:hanging="172" w:hangingChars="72"/>
        <w:jc w:val="left"/>
        <w:textAlignment w:val="auto"/>
        <w:rPr>
          <w:rFonts w:ascii="仿宋_GB2312" w:hAnsi="宋体" w:eastAsia="仿宋_GB2312"/>
          <w:sz w:val="24"/>
          <w:szCs w:val="24"/>
        </w:rPr>
      </w:pPr>
      <w:r>
        <w:rPr>
          <w:rFonts w:hint="eastAsia" w:ascii="仿宋_GB2312" w:hAnsi="宋体" w:eastAsia="仿宋_GB2312"/>
          <w:sz w:val="24"/>
          <w:szCs w:val="24"/>
        </w:rPr>
        <w:t>（4）先进理论和技术的应用   （5）设计图纸质量</w:t>
      </w:r>
    </w:p>
    <w:p>
      <w:pPr>
        <w:pStyle w:val="2"/>
        <w:keepNext w:val="0"/>
        <w:keepLines w:val="0"/>
        <w:pageBreakBefore w:val="0"/>
        <w:widowControl w:val="0"/>
        <w:kinsoku/>
        <w:wordWrap/>
        <w:overflowPunct/>
        <w:topLinePunct w:val="0"/>
        <w:bidi w:val="0"/>
        <w:adjustRightInd w:val="0"/>
        <w:snapToGrid w:val="0"/>
        <w:spacing w:line="300" w:lineRule="auto"/>
        <w:ind w:left="540" w:firstLine="0" w:firstLineChars="0"/>
        <w:jc w:val="left"/>
        <w:textAlignment w:val="auto"/>
        <w:rPr>
          <w:rFonts w:ascii="仿宋_GB2312" w:hAnsi="宋体" w:eastAsia="仿宋_GB2312"/>
          <w:sz w:val="24"/>
          <w:szCs w:val="24"/>
        </w:rPr>
      </w:pPr>
      <w:r>
        <w:rPr>
          <w:rFonts w:hint="eastAsia" w:ascii="仿宋_GB2312" w:hAnsi="宋体" w:eastAsia="仿宋_GB2312"/>
          <w:sz w:val="24"/>
          <w:szCs w:val="24"/>
        </w:rPr>
        <w:t>3.制作评价</w:t>
      </w:r>
    </w:p>
    <w:p>
      <w:pPr>
        <w:pStyle w:val="2"/>
        <w:keepNext w:val="0"/>
        <w:keepLines w:val="0"/>
        <w:pageBreakBefore w:val="0"/>
        <w:widowControl w:val="0"/>
        <w:kinsoku/>
        <w:wordWrap/>
        <w:overflowPunct/>
        <w:topLinePunct w:val="0"/>
        <w:bidi w:val="0"/>
        <w:adjustRightInd w:val="0"/>
        <w:snapToGrid w:val="0"/>
        <w:spacing w:line="300" w:lineRule="auto"/>
        <w:ind w:left="540" w:leftChars="257" w:firstLine="480" w:firstLineChars="200"/>
        <w:jc w:val="left"/>
        <w:textAlignment w:val="auto"/>
        <w:rPr>
          <w:rFonts w:ascii="仿宋_GB2312" w:hAnsi="宋体" w:eastAsia="仿宋_GB2312"/>
          <w:sz w:val="24"/>
          <w:szCs w:val="24"/>
        </w:rPr>
      </w:pPr>
      <w:r>
        <w:rPr>
          <w:rFonts w:hint="eastAsia" w:ascii="仿宋_GB2312" w:hAnsi="宋体" w:eastAsia="仿宋_GB2312"/>
          <w:sz w:val="24"/>
          <w:szCs w:val="24"/>
        </w:rPr>
        <w:t>（1）功能实现   （2）制作水平与完整性  （3）作品性价比</w:t>
      </w:r>
    </w:p>
    <w:p>
      <w:pPr>
        <w:pStyle w:val="2"/>
        <w:keepNext w:val="0"/>
        <w:keepLines w:val="0"/>
        <w:pageBreakBefore w:val="0"/>
        <w:widowControl w:val="0"/>
        <w:kinsoku/>
        <w:wordWrap/>
        <w:overflowPunct/>
        <w:topLinePunct w:val="0"/>
        <w:bidi w:val="0"/>
        <w:adjustRightInd w:val="0"/>
        <w:snapToGrid w:val="0"/>
        <w:spacing w:line="300" w:lineRule="auto"/>
        <w:ind w:left="540" w:firstLine="0" w:firstLineChars="0"/>
        <w:jc w:val="left"/>
        <w:textAlignment w:val="auto"/>
        <w:rPr>
          <w:rFonts w:ascii="仿宋_GB2312" w:hAnsi="宋体" w:eastAsia="仿宋_GB2312"/>
          <w:sz w:val="24"/>
          <w:szCs w:val="24"/>
        </w:rPr>
      </w:pPr>
      <w:r>
        <w:rPr>
          <w:rFonts w:hint="eastAsia" w:ascii="仿宋_GB2312" w:hAnsi="宋体" w:eastAsia="仿宋_GB2312"/>
          <w:sz w:val="24"/>
          <w:szCs w:val="24"/>
        </w:rPr>
        <w:t>4.现场评价</w:t>
      </w:r>
    </w:p>
    <w:p>
      <w:pPr>
        <w:pStyle w:val="2"/>
        <w:keepNext w:val="0"/>
        <w:keepLines w:val="0"/>
        <w:pageBreakBefore w:val="0"/>
        <w:widowControl w:val="0"/>
        <w:kinsoku/>
        <w:wordWrap/>
        <w:overflowPunct/>
        <w:topLinePunct w:val="0"/>
        <w:bidi w:val="0"/>
        <w:adjustRightInd w:val="0"/>
        <w:snapToGrid w:val="0"/>
        <w:spacing w:line="300" w:lineRule="auto"/>
        <w:ind w:left="540" w:leftChars="257" w:firstLine="460" w:firstLineChars="192"/>
        <w:jc w:val="left"/>
        <w:textAlignment w:val="auto"/>
        <w:rPr>
          <w:rFonts w:hint="eastAsia" w:ascii="仿宋_GB2312" w:hAnsi="宋体" w:eastAsia="仿宋_GB2312"/>
          <w:sz w:val="24"/>
          <w:szCs w:val="24"/>
        </w:rPr>
      </w:pPr>
      <w:r>
        <w:rPr>
          <w:rFonts w:hint="eastAsia" w:ascii="仿宋_GB2312" w:hAnsi="宋体" w:eastAsia="仿宋_GB2312"/>
          <w:sz w:val="24"/>
          <w:szCs w:val="24"/>
        </w:rPr>
        <w:t>（1）介绍及演示 （2）答辩与质疑</w:t>
      </w:r>
    </w:p>
    <w:p>
      <w:pPr>
        <w:pStyle w:val="2"/>
        <w:keepNext w:val="0"/>
        <w:keepLines w:val="0"/>
        <w:pageBreakBefore w:val="0"/>
        <w:widowControl w:val="0"/>
        <w:kinsoku/>
        <w:wordWrap/>
        <w:overflowPunct/>
        <w:topLinePunct w:val="0"/>
        <w:bidi w:val="0"/>
        <w:adjustRightInd w:val="0"/>
        <w:snapToGrid w:val="0"/>
        <w:spacing w:line="300" w:lineRule="auto"/>
        <w:jc w:val="left"/>
        <w:textAlignment w:val="auto"/>
        <w:rPr>
          <w:rFonts w:hint="eastAsia" w:ascii="仿宋_GB2312" w:hAnsi="宋体" w:eastAsia="仿宋_GB2312"/>
          <w:sz w:val="24"/>
          <w:szCs w:val="24"/>
        </w:rPr>
      </w:pPr>
      <w:r>
        <w:rPr>
          <w:rFonts w:hint="eastAsia" w:ascii="仿宋_GB2312" w:hAnsi="宋体" w:eastAsia="仿宋_GB2312"/>
          <w:b/>
          <w:bCs/>
          <w:sz w:val="24"/>
          <w:szCs w:val="24"/>
        </w:rPr>
        <w:t>高性能仿生蝴蝶</w:t>
      </w:r>
      <w:r>
        <w:rPr>
          <w:rFonts w:hint="eastAsia" w:ascii="仿宋_GB2312" w:hAnsi="宋体" w:eastAsia="仿宋_GB2312"/>
          <w:sz w:val="24"/>
          <w:szCs w:val="24"/>
        </w:rPr>
        <w:t>作品采用飞行比赛和设计评审两个方面加权评价：</w:t>
      </w:r>
    </w:p>
    <w:p>
      <w:pPr>
        <w:pStyle w:val="2"/>
        <w:keepNext w:val="0"/>
        <w:keepLines w:val="0"/>
        <w:pageBreakBefore w:val="0"/>
        <w:widowControl w:val="0"/>
        <w:kinsoku/>
        <w:wordWrap/>
        <w:overflowPunct/>
        <w:topLinePunct w:val="0"/>
        <w:bidi w:val="0"/>
        <w:adjustRightInd w:val="0"/>
        <w:snapToGrid w:val="0"/>
        <w:spacing w:line="300" w:lineRule="auto"/>
        <w:jc w:val="left"/>
        <w:textAlignment w:val="auto"/>
        <w:rPr>
          <w:rFonts w:hint="eastAsia" w:ascii="仿宋_GB2312" w:hAnsi="宋体" w:eastAsia="仿宋_GB2312"/>
          <w:sz w:val="24"/>
          <w:szCs w:val="24"/>
        </w:rPr>
      </w:pPr>
      <w:r>
        <w:rPr>
          <w:rFonts w:hint="eastAsia" w:ascii="仿宋_GB2312" w:hAnsi="宋体" w:eastAsia="仿宋_GB2312"/>
          <w:sz w:val="24"/>
          <w:szCs w:val="24"/>
        </w:rPr>
        <w:t>1.飞行比赛（占 60%）</w:t>
      </w:r>
    </w:p>
    <w:p>
      <w:pPr>
        <w:pStyle w:val="2"/>
        <w:keepNext w:val="0"/>
        <w:keepLines w:val="0"/>
        <w:pageBreakBefore w:val="0"/>
        <w:widowControl w:val="0"/>
        <w:kinsoku/>
        <w:wordWrap/>
        <w:overflowPunct/>
        <w:topLinePunct w:val="0"/>
        <w:bidi w:val="0"/>
        <w:adjustRightInd w:val="0"/>
        <w:snapToGrid w:val="0"/>
        <w:spacing w:line="300" w:lineRule="auto"/>
        <w:jc w:val="left"/>
        <w:textAlignment w:val="auto"/>
        <w:rPr>
          <w:rFonts w:hint="eastAsia" w:ascii="仿宋_GB2312" w:hAnsi="宋体" w:eastAsia="仿宋_GB2312"/>
          <w:sz w:val="24"/>
          <w:szCs w:val="24"/>
        </w:rPr>
      </w:pPr>
      <w:r>
        <w:rPr>
          <w:rFonts w:hint="eastAsia" w:ascii="仿宋_GB2312" w:hAnsi="宋体" w:eastAsia="仿宋_GB2312"/>
          <w:sz w:val="24"/>
          <w:szCs w:val="24"/>
        </w:rPr>
        <w:t>仿生蝴蝶飞行比赛得分 =飞行距离（单位:m）×1 分/m + 调头次数×2 分/次</w:t>
      </w:r>
    </w:p>
    <w:p>
      <w:pPr>
        <w:pStyle w:val="2"/>
        <w:keepNext w:val="0"/>
        <w:keepLines w:val="0"/>
        <w:pageBreakBefore w:val="0"/>
        <w:widowControl w:val="0"/>
        <w:kinsoku/>
        <w:wordWrap/>
        <w:overflowPunct/>
        <w:topLinePunct w:val="0"/>
        <w:bidi w:val="0"/>
        <w:adjustRightInd w:val="0"/>
        <w:snapToGrid w:val="0"/>
        <w:spacing w:line="300" w:lineRule="auto"/>
        <w:ind w:left="0" w:leftChars="0" w:firstLine="480" w:firstLineChars="200"/>
        <w:jc w:val="left"/>
        <w:textAlignment w:val="auto"/>
        <w:rPr>
          <w:rFonts w:hint="eastAsia" w:ascii="仿宋_GB2312" w:hAnsi="宋体" w:eastAsia="仿宋_GB2312"/>
          <w:sz w:val="24"/>
          <w:szCs w:val="24"/>
        </w:rPr>
      </w:pPr>
      <w:r>
        <w:rPr>
          <w:rFonts w:hint="eastAsia" w:ascii="仿宋_GB2312" w:hAnsi="宋体" w:eastAsia="仿宋_GB2312"/>
          <w:sz w:val="24"/>
          <w:szCs w:val="24"/>
        </w:rPr>
        <w:t>2.仿生设计评审（占 40%）</w:t>
      </w:r>
    </w:p>
    <w:p>
      <w:pPr>
        <w:pStyle w:val="2"/>
        <w:keepNext w:val="0"/>
        <w:keepLines w:val="0"/>
        <w:pageBreakBefore w:val="0"/>
        <w:widowControl w:val="0"/>
        <w:kinsoku/>
        <w:wordWrap/>
        <w:overflowPunct/>
        <w:topLinePunct w:val="0"/>
        <w:bidi w:val="0"/>
        <w:adjustRightInd w:val="0"/>
        <w:snapToGrid w:val="0"/>
        <w:spacing w:line="300" w:lineRule="auto"/>
        <w:jc w:val="left"/>
        <w:textAlignment w:val="auto"/>
        <w:rPr>
          <w:rFonts w:hint="eastAsia" w:ascii="仿宋_GB2312" w:hAnsi="宋体" w:eastAsia="仿宋_GB2312"/>
          <w:sz w:val="24"/>
          <w:szCs w:val="24"/>
        </w:rPr>
      </w:pPr>
      <w:r>
        <w:rPr>
          <w:rFonts w:hint="eastAsia" w:ascii="仿宋_GB2312" w:hAnsi="宋体" w:eastAsia="仿宋_GB2312"/>
          <w:sz w:val="24"/>
          <w:szCs w:val="24"/>
        </w:rPr>
        <w:t>在全部满足 5 点设计要求的情况下，设计评审观测点有以下 5 个方面：</w:t>
      </w:r>
    </w:p>
    <w:p>
      <w:pPr>
        <w:pStyle w:val="2"/>
        <w:keepNext w:val="0"/>
        <w:keepLines w:val="0"/>
        <w:pageBreakBefore w:val="0"/>
        <w:widowControl w:val="0"/>
        <w:kinsoku/>
        <w:wordWrap/>
        <w:overflowPunct/>
        <w:topLinePunct w:val="0"/>
        <w:bidi w:val="0"/>
        <w:adjustRightInd w:val="0"/>
        <w:snapToGrid w:val="0"/>
        <w:spacing w:line="300" w:lineRule="auto"/>
        <w:ind w:left="0" w:leftChars="0" w:firstLine="0" w:firstLineChars="0"/>
        <w:jc w:val="left"/>
        <w:textAlignment w:val="auto"/>
        <w:rPr>
          <w:rFonts w:hint="eastAsia" w:ascii="仿宋_GB2312" w:hAnsi="宋体" w:eastAsia="仿宋_GB2312"/>
          <w:sz w:val="24"/>
          <w:szCs w:val="24"/>
        </w:rPr>
      </w:pPr>
      <w:r>
        <w:rPr>
          <w:rFonts w:hint="eastAsia" w:ascii="仿宋_GB2312" w:hAnsi="宋体" w:eastAsia="仿宋_GB2312"/>
          <w:sz w:val="24"/>
          <w:szCs w:val="24"/>
        </w:rPr>
        <w:t>（1）结构合理性和性能分析 （2）创新性 （3）设计图纸（含效果图）质量（4）智能、数字和 5G 通信技术的应用 （5）答辩与质疑</w:t>
      </w:r>
    </w:p>
    <w:p>
      <w:pPr>
        <w:keepNext w:val="0"/>
        <w:keepLines w:val="0"/>
        <w:pageBreakBefore w:val="0"/>
        <w:widowControl w:val="0"/>
        <w:kinsoku/>
        <w:wordWrap/>
        <w:overflowPunct/>
        <w:topLinePunct w:val="0"/>
        <w:bidi w:val="0"/>
        <w:adjustRightInd w:val="0"/>
        <w:snapToGrid w:val="0"/>
        <w:spacing w:line="300" w:lineRule="auto"/>
        <w:ind w:firstLine="540" w:firstLineChars="225"/>
        <w:textAlignment w:val="auto"/>
        <w:rPr>
          <w:rFonts w:ascii="仿宋_GB2312" w:hAnsi="宋体" w:eastAsia="仿宋_GB2312"/>
          <w:sz w:val="24"/>
        </w:rPr>
      </w:pPr>
      <w:r>
        <w:rPr>
          <w:rFonts w:hint="eastAsia" w:ascii="仿宋_GB2312" w:hAnsi="宋体" w:eastAsia="仿宋_GB2312"/>
          <w:sz w:val="24"/>
        </w:rPr>
        <w:t>四、各参赛队在接到参加决赛的通知后，在规定的时间按组委会的要求在决赛展台布置作品的实物样机或进行放缩的实物模型；实物样机或进行放缩的实物模型的体积一般不超过1.2×1.2×1.2立方米，特殊情况下在一个方向上允许放大到2米，但体积不能增加；各参赛队可制作1-2个展页，每个展页尺寸不超过1.5米×0.9米。作品演示时不能对决赛现场有环境污染、场地破坏。如果参赛队对演示环境有特殊要求，请尽早与承办单位联系；对不能提供特殊演示环境的参赛队作品，要制作作品演示的实况录像，以便评审。</w:t>
      </w:r>
    </w:p>
    <w:p>
      <w:pPr>
        <w:keepNext w:val="0"/>
        <w:keepLines w:val="0"/>
        <w:pageBreakBefore w:val="0"/>
        <w:widowControl w:val="0"/>
        <w:kinsoku/>
        <w:wordWrap/>
        <w:overflowPunct/>
        <w:topLinePunct w:val="0"/>
        <w:bidi w:val="0"/>
        <w:adjustRightInd w:val="0"/>
        <w:snapToGrid w:val="0"/>
        <w:spacing w:line="300" w:lineRule="auto"/>
        <w:ind w:firstLine="480" w:firstLineChars="200"/>
        <w:textAlignment w:val="auto"/>
        <w:rPr>
          <w:rFonts w:ascii="仿宋_GB2312" w:hAnsi="宋体" w:eastAsia="仿宋_GB2312"/>
          <w:sz w:val="24"/>
        </w:rPr>
      </w:pPr>
      <w:r>
        <w:rPr>
          <w:rFonts w:hint="eastAsia" w:ascii="仿宋_GB2312" w:hAnsi="宋体" w:eastAsia="仿宋_GB2312"/>
          <w:sz w:val="24"/>
        </w:rPr>
        <w:t>其他未尽事宜，由大赛秘书处负责解释。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5MmRhYzRhODNlOTk0NmNjYzAxMmNmZGQ5NTYwNWUifQ=="/>
  </w:docVars>
  <w:rsids>
    <w:rsidRoot w:val="00921FC5"/>
    <w:rsid w:val="0006003E"/>
    <w:rsid w:val="000C011B"/>
    <w:rsid w:val="000D34B0"/>
    <w:rsid w:val="00295122"/>
    <w:rsid w:val="005D1282"/>
    <w:rsid w:val="005E5575"/>
    <w:rsid w:val="007278CD"/>
    <w:rsid w:val="00752A1E"/>
    <w:rsid w:val="007F3A9F"/>
    <w:rsid w:val="00832C9B"/>
    <w:rsid w:val="00917210"/>
    <w:rsid w:val="00921FC5"/>
    <w:rsid w:val="00955E59"/>
    <w:rsid w:val="0098284F"/>
    <w:rsid w:val="009A2CAF"/>
    <w:rsid w:val="00A530E0"/>
    <w:rsid w:val="00AC43A9"/>
    <w:rsid w:val="00AD5A1B"/>
    <w:rsid w:val="00BC5111"/>
    <w:rsid w:val="00D93DDA"/>
    <w:rsid w:val="00DF251F"/>
    <w:rsid w:val="00EF7942"/>
    <w:rsid w:val="00F14235"/>
    <w:rsid w:val="00F63ECE"/>
    <w:rsid w:val="2E1E1601"/>
    <w:rsid w:val="36083706"/>
    <w:rsid w:val="3DEF50B3"/>
    <w:rsid w:val="5AA805E5"/>
    <w:rsid w:val="631E3DC0"/>
    <w:rsid w:val="6A6B407A"/>
    <w:rsid w:val="6A8A2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0"/>
    <w:pPr>
      <w:ind w:firstLine="359" w:firstLineChars="171"/>
    </w:pPr>
    <w:rPr>
      <w:rFonts w:ascii="宋体"/>
      <w:szCs w:val="32"/>
    </w:rPr>
  </w:style>
  <w:style w:type="paragraph" w:styleId="3">
    <w:name w:val="footer"/>
    <w:basedOn w:val="1"/>
    <w:link w:val="8"/>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 w:type="character" w:customStyle="1" w:styleId="9">
    <w:name w:val="正文文本缩进 字符"/>
    <w:basedOn w:val="6"/>
    <w:link w:val="2"/>
    <w:autoRedefine/>
    <w:qFormat/>
    <w:uiPriority w:val="0"/>
    <w:rPr>
      <w:rFonts w:ascii="宋体" w:hAnsi="Times New Roman" w:eastAsia="宋体" w:cs="Times New Roman"/>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260</Words>
  <Characters>1483</Characters>
  <Lines>12</Lines>
  <Paragraphs>3</Paragraphs>
  <TotalTime>25</TotalTime>
  <ScaleCrop>false</ScaleCrop>
  <LinksUpToDate>false</LinksUpToDate>
  <CharactersWithSpaces>1740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2018-11-06T18:22:00Z</dcterms:created>
  <dc:creator>caiyaojie</dc:creator>
  <cp:lastModifiedBy>张晋楠</cp:lastModifiedBy>
  <dcterms:modified xsi:type="dcterms:W3CDTF">2026-03-03T07:58:17Z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62261EE0FB484610B626C16067B570D8</vt:lpwstr>
  </property>
</Properties>
</file>